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right"/>
        <w:rPr>
          <w:rFonts w:ascii="仿宋_GB2312" w:eastAsia="仿宋_GB2312"/>
        </w:rPr>
      </w:pPr>
    </w:p>
    <w:p>
      <w:pPr>
        <w:spacing w:line="360" w:lineRule="auto"/>
        <w:jc w:val="right"/>
        <w:rPr>
          <w:rFonts w:ascii="仿宋_GB2312" w:eastAsia="仿宋_GB2312"/>
        </w:rPr>
      </w:pPr>
    </w:p>
    <w:p>
      <w:pPr>
        <w:spacing w:line="360" w:lineRule="auto"/>
        <w:jc w:val="right"/>
        <w:rPr>
          <w:rFonts w:ascii="仿宋_GB2312" w:eastAsia="仿宋_GB2312"/>
        </w:rPr>
      </w:pPr>
    </w:p>
    <w:p>
      <w:pPr>
        <w:wordWrap w:val="0"/>
        <w:snapToGrid w:val="0"/>
        <w:spacing w:line="480" w:lineRule="auto"/>
        <w:jc w:val="right"/>
        <w:rPr>
          <w:rFonts w:ascii="仿宋_GB2312" w:eastAsia="仿宋_GB2312"/>
          <w:spacing w:val="20"/>
          <w:sz w:val="32"/>
        </w:rPr>
      </w:pPr>
      <w:r>
        <w:rPr>
          <w:rFonts w:hint="eastAsia" w:ascii="仿宋_GB2312" w:eastAsia="仿宋_GB2312"/>
          <w:sz w:val="32"/>
          <w:szCs w:val="32"/>
        </w:rPr>
        <w:t>生科</w:t>
      </w:r>
      <w:r>
        <w:rPr>
          <w:rFonts w:hint="eastAsia" w:ascii="仿宋" w:hAnsi="仿宋" w:eastAsia="仿宋" w:cs="Arial Unicode MS"/>
          <w:sz w:val="32"/>
          <w:szCs w:val="32"/>
        </w:rPr>
        <w:t>〔</w:t>
      </w:r>
      <w:r>
        <w:rPr>
          <w:rFonts w:hint="eastAsia" w:ascii="仿宋" w:hAnsi="仿宋" w:eastAsia="仿宋"/>
          <w:sz w:val="32"/>
          <w:szCs w:val="32"/>
        </w:rPr>
        <w:t>2019</w:t>
      </w:r>
      <w:r>
        <w:rPr>
          <w:rFonts w:hint="eastAsia" w:ascii="仿宋" w:hAnsi="仿宋" w:eastAsia="仿宋" w:cs="Arial Unicode MS"/>
          <w:sz w:val="32"/>
          <w:szCs w:val="32"/>
        </w:rPr>
        <w:t>〕</w:t>
      </w:r>
      <w:r>
        <w:rPr>
          <w:rFonts w:ascii="仿宋" w:hAnsi="仿宋" w:eastAsia="仿宋" w:cs="Arial Unicode MS"/>
          <w:sz w:val="32"/>
          <w:szCs w:val="32"/>
        </w:rPr>
        <w:t>11</w:t>
      </w:r>
      <w:r>
        <w:rPr>
          <w:rFonts w:hint="eastAsia" w:ascii="仿宋" w:hAnsi="仿宋" w:eastAsia="仿宋" w:cs="Arial Unicode MS"/>
          <w:sz w:val="32"/>
          <w:szCs w:val="32"/>
        </w:rPr>
        <w:t>号</w:t>
      </w:r>
    </w:p>
    <w:p>
      <w:pPr>
        <w:snapToGrid w:val="0"/>
        <w:ind w:firstLine="2107"/>
        <w:rPr>
          <w:b/>
          <w:sz w:val="36"/>
        </w:rPr>
      </w:pPr>
    </w:p>
    <w:p>
      <w:pPr>
        <w:jc w:val="center"/>
        <w:rPr>
          <w:b/>
          <w:sz w:val="44"/>
          <w:szCs w:val="44"/>
        </w:rPr>
      </w:pPr>
      <w:r>
        <w:rPr>
          <w:rFonts w:hint="eastAsia"/>
          <w:b/>
          <w:sz w:val="44"/>
          <w:szCs w:val="44"/>
        </w:rPr>
        <w:t>生命科学学院关于印发《生命科学学院博士生年度考核及奖助金评定实施细则（试行）》</w:t>
      </w:r>
      <w:r>
        <w:rPr>
          <w:b/>
          <w:sz w:val="44"/>
          <w:szCs w:val="44"/>
        </w:rPr>
        <w:t>的通知</w:t>
      </w:r>
      <w:bookmarkStart w:id="0" w:name="_GoBack"/>
      <w:bookmarkEnd w:id="0"/>
    </w:p>
    <w:p>
      <w:pPr>
        <w:rPr>
          <w:b/>
          <w:sz w:val="44"/>
          <w:szCs w:val="44"/>
        </w:rPr>
      </w:pPr>
    </w:p>
    <w:p>
      <w:pPr>
        <w:rPr>
          <w:rFonts w:ascii="仿宋" w:hAnsi="仿宋" w:eastAsia="仿宋"/>
          <w:sz w:val="32"/>
          <w:szCs w:val="32"/>
        </w:rPr>
      </w:pPr>
      <w:r>
        <w:rPr>
          <w:rFonts w:hint="eastAsia" w:ascii="仿宋" w:hAnsi="仿宋" w:eastAsia="仿宋"/>
          <w:sz w:val="32"/>
          <w:szCs w:val="32"/>
        </w:rPr>
        <w:t>各位师生:</w:t>
      </w:r>
    </w:p>
    <w:p>
      <w:pPr>
        <w:ind w:firstLine="640" w:firstLineChars="200"/>
        <w:jc w:val="left"/>
        <w:rPr>
          <w:rFonts w:ascii="仿宋" w:hAnsi="仿宋" w:eastAsia="仿宋"/>
          <w:sz w:val="32"/>
          <w:szCs w:val="32"/>
        </w:rPr>
      </w:pPr>
      <w:r>
        <w:rPr>
          <w:rFonts w:hint="eastAsia" w:ascii="仿宋" w:hAnsi="仿宋" w:eastAsia="仿宋"/>
          <w:sz w:val="32"/>
          <w:szCs w:val="32"/>
        </w:rPr>
        <w:t>经学院2019年第五次党政联席会审议，通过《生命科学学院博士生年度考核及奖助金评定实施细则（试行）》，</w:t>
      </w:r>
      <w:r>
        <w:rPr>
          <w:rFonts w:ascii="仿宋" w:hAnsi="仿宋" w:eastAsia="仿宋"/>
          <w:sz w:val="32"/>
          <w:szCs w:val="32"/>
        </w:rPr>
        <w:t>现予以</w:t>
      </w:r>
      <w:r>
        <w:rPr>
          <w:rFonts w:hint="eastAsia" w:ascii="仿宋" w:hAnsi="仿宋" w:eastAsia="仿宋"/>
          <w:sz w:val="32"/>
          <w:szCs w:val="32"/>
        </w:rPr>
        <w:t>印发</w:t>
      </w:r>
      <w:r>
        <w:rPr>
          <w:rFonts w:ascii="仿宋" w:hAnsi="仿宋" w:eastAsia="仿宋"/>
          <w:sz w:val="32"/>
          <w:szCs w:val="32"/>
        </w:rPr>
        <w:t>，请遵照执行。</w:t>
      </w: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wordWrap w:val="0"/>
        <w:ind w:right="160"/>
        <w:jc w:val="right"/>
        <w:rPr>
          <w:rFonts w:ascii="仿宋" w:hAnsi="仿宋" w:eastAsia="仿宋"/>
          <w:sz w:val="32"/>
          <w:szCs w:val="32"/>
        </w:rPr>
      </w:pPr>
      <w:r>
        <w:rPr>
          <w:rFonts w:hint="eastAsia" w:ascii="仿宋" w:hAnsi="仿宋" w:eastAsia="仿宋"/>
          <w:sz w:val="32"/>
          <w:szCs w:val="32"/>
        </w:rPr>
        <w:t>生命科学学院</w:t>
      </w:r>
      <w:r>
        <w:rPr>
          <w:rFonts w:ascii="仿宋" w:hAnsi="仿宋" w:eastAsia="仿宋"/>
          <w:sz w:val="32"/>
          <w:szCs w:val="32"/>
        </w:rPr>
        <w:t xml:space="preserve">    </w:t>
      </w:r>
    </w:p>
    <w:p>
      <w:pPr>
        <w:wordWrap w:val="0"/>
        <w:jc w:val="right"/>
        <w:rPr>
          <w:rFonts w:ascii="仿宋" w:hAnsi="仿宋" w:eastAsia="仿宋"/>
          <w:sz w:val="32"/>
          <w:szCs w:val="32"/>
        </w:rPr>
      </w:pPr>
      <w:r>
        <w:rPr>
          <w:rFonts w:hint="eastAsia" w:ascii="仿宋" w:hAnsi="仿宋" w:eastAsia="仿宋"/>
          <w:sz w:val="32"/>
          <w:szCs w:val="32"/>
        </w:rPr>
        <w:t>2019年4月</w:t>
      </w:r>
      <w:r>
        <w:rPr>
          <w:rFonts w:ascii="仿宋" w:hAnsi="仿宋" w:eastAsia="仿宋"/>
          <w:sz w:val="32"/>
          <w:szCs w:val="32"/>
        </w:rPr>
        <w:t>11</w:t>
      </w:r>
      <w:r>
        <w:rPr>
          <w:rFonts w:hint="eastAsia" w:ascii="仿宋" w:hAnsi="仿宋" w:eastAsia="仿宋"/>
          <w:sz w:val="32"/>
          <w:szCs w:val="32"/>
        </w:rPr>
        <w:t xml:space="preserve">日 </w:t>
      </w:r>
      <w:r>
        <w:rPr>
          <w:rFonts w:ascii="仿宋" w:hAnsi="仿宋" w:eastAsia="仿宋"/>
          <w:sz w:val="32"/>
          <w:szCs w:val="32"/>
        </w:rPr>
        <w:t xml:space="preserve">   </w:t>
      </w:r>
    </w:p>
    <w:p>
      <w:pPr>
        <w:widowControl/>
        <w:jc w:val="left"/>
      </w:pPr>
      <w:r>
        <w:br w:type="page"/>
      </w:r>
    </w:p>
    <w:p>
      <w:pPr>
        <w:snapToGrid w:val="0"/>
        <w:spacing w:before="312" w:beforeLines="100" w:after="156" w:afterLines="50"/>
        <w:jc w:val="center"/>
        <w:rPr>
          <w:rFonts w:asciiTheme="minorEastAsia" w:hAnsiTheme="minorEastAsia" w:eastAsiaTheme="minorEastAsia"/>
          <w:b/>
          <w:sz w:val="32"/>
          <w:szCs w:val="32"/>
        </w:rPr>
      </w:pPr>
      <w:r>
        <w:rPr>
          <w:rFonts w:hint="eastAsia" w:asciiTheme="minorEastAsia" w:hAnsiTheme="minorEastAsia" w:eastAsiaTheme="minorEastAsia"/>
          <w:b/>
          <w:sz w:val="44"/>
          <w:szCs w:val="44"/>
        </w:rPr>
        <w:t>生命科学学院博士生年度考核及奖助金评定实施细则(试行)</w:t>
      </w:r>
    </w:p>
    <w:p>
      <w:pPr>
        <w:snapToGrid w:val="0"/>
        <w:spacing w:line="360" w:lineRule="auto"/>
        <w:jc w:val="center"/>
        <w:rPr>
          <w:rFonts w:ascii="仿宋" w:hAnsi="仿宋" w:eastAsia="仿宋"/>
          <w:b/>
          <w:sz w:val="32"/>
          <w:szCs w:val="32"/>
        </w:rPr>
      </w:pPr>
    </w:p>
    <w:p>
      <w:pPr>
        <w:snapToGrid w:val="0"/>
        <w:spacing w:line="348" w:lineRule="auto"/>
        <w:jc w:val="center"/>
        <w:rPr>
          <w:rFonts w:ascii="仿宋" w:hAnsi="仿宋" w:eastAsia="仿宋"/>
          <w:b/>
          <w:sz w:val="32"/>
          <w:szCs w:val="32"/>
        </w:rPr>
      </w:pPr>
      <w:r>
        <w:rPr>
          <w:rFonts w:hint="eastAsia" w:ascii="仿宋" w:hAnsi="仿宋" w:eastAsia="仿宋"/>
          <w:b/>
          <w:sz w:val="32"/>
          <w:szCs w:val="32"/>
        </w:rPr>
        <w:t>第一章  总    则</w:t>
      </w:r>
    </w:p>
    <w:p>
      <w:pPr>
        <w:snapToGrid w:val="0"/>
        <w:spacing w:line="348" w:lineRule="auto"/>
        <w:ind w:firstLine="640" w:firstLineChars="200"/>
        <w:rPr>
          <w:rFonts w:ascii="仿宋" w:hAnsi="仿宋" w:eastAsia="仿宋"/>
          <w:sz w:val="32"/>
          <w:szCs w:val="32"/>
        </w:rPr>
      </w:pPr>
      <w:r>
        <w:rPr>
          <w:rFonts w:hint="eastAsia" w:ascii="仿宋" w:hAnsi="仿宋" w:eastAsia="仿宋"/>
          <w:sz w:val="32"/>
          <w:szCs w:val="32"/>
        </w:rPr>
        <w:t>第一条  为了提高研究生培养质量，</w:t>
      </w:r>
      <w:r>
        <w:rPr>
          <w:rFonts w:ascii="仿宋" w:hAnsi="仿宋" w:eastAsia="仿宋"/>
          <w:sz w:val="32"/>
          <w:szCs w:val="32"/>
        </w:rPr>
        <w:t>加强对研究生培养过程的督促和检查</w:t>
      </w:r>
      <w:r>
        <w:rPr>
          <w:rFonts w:hint="eastAsia" w:ascii="仿宋" w:hAnsi="仿宋" w:eastAsia="仿宋"/>
          <w:sz w:val="32"/>
          <w:szCs w:val="32"/>
        </w:rPr>
        <w:t>，</w:t>
      </w:r>
      <w:r>
        <w:rPr>
          <w:rFonts w:ascii="仿宋" w:hAnsi="仿宋" w:eastAsia="仿宋"/>
          <w:sz w:val="32"/>
          <w:szCs w:val="32"/>
        </w:rPr>
        <w:t>鼓励和支持优秀博士生开展高水平创新性研究</w:t>
      </w:r>
      <w:r>
        <w:rPr>
          <w:rFonts w:hint="eastAsia" w:ascii="仿宋" w:hAnsi="仿宋" w:eastAsia="仿宋"/>
          <w:sz w:val="32"/>
          <w:szCs w:val="32"/>
        </w:rPr>
        <w:t>，结合《中山大学研究生奖助规定（</w:t>
      </w:r>
      <w:r>
        <w:rPr>
          <w:rFonts w:ascii="仿宋" w:hAnsi="仿宋" w:eastAsia="仿宋"/>
          <w:sz w:val="32"/>
          <w:szCs w:val="32"/>
        </w:rPr>
        <w:t>201</w:t>
      </w:r>
      <w:r>
        <w:rPr>
          <w:rFonts w:hint="eastAsia" w:ascii="仿宋" w:hAnsi="仿宋" w:eastAsia="仿宋"/>
          <w:sz w:val="32"/>
          <w:szCs w:val="32"/>
        </w:rPr>
        <w:t>8</w:t>
      </w:r>
      <w:r>
        <w:rPr>
          <w:rFonts w:ascii="仿宋" w:hAnsi="仿宋" w:eastAsia="仿宋"/>
          <w:sz w:val="32"/>
          <w:szCs w:val="32"/>
        </w:rPr>
        <w:t>年</w:t>
      </w:r>
      <w:r>
        <w:rPr>
          <w:rFonts w:hint="eastAsia" w:ascii="仿宋" w:hAnsi="仿宋" w:eastAsia="仿宋"/>
          <w:sz w:val="32"/>
          <w:szCs w:val="32"/>
        </w:rPr>
        <w:t>12</w:t>
      </w:r>
      <w:r>
        <w:rPr>
          <w:rFonts w:ascii="仿宋" w:hAnsi="仿宋" w:eastAsia="仿宋"/>
          <w:sz w:val="32"/>
          <w:szCs w:val="32"/>
        </w:rPr>
        <w:t>月）》</w:t>
      </w:r>
      <w:r>
        <w:rPr>
          <w:rFonts w:hint="eastAsia" w:ascii="仿宋" w:hAnsi="仿宋" w:eastAsia="仿宋"/>
          <w:sz w:val="32"/>
          <w:szCs w:val="32"/>
        </w:rPr>
        <w:t>和《中山大学研究生奖助规定实施细则（</w:t>
      </w:r>
      <w:r>
        <w:rPr>
          <w:rFonts w:ascii="仿宋" w:hAnsi="仿宋" w:eastAsia="仿宋"/>
          <w:sz w:val="32"/>
          <w:szCs w:val="32"/>
        </w:rPr>
        <w:t>201</w:t>
      </w:r>
      <w:r>
        <w:rPr>
          <w:rFonts w:hint="eastAsia" w:ascii="仿宋" w:hAnsi="仿宋" w:eastAsia="仿宋"/>
          <w:sz w:val="32"/>
          <w:szCs w:val="32"/>
        </w:rPr>
        <w:t>9</w:t>
      </w:r>
      <w:r>
        <w:rPr>
          <w:rFonts w:ascii="仿宋" w:hAnsi="仿宋" w:eastAsia="仿宋"/>
          <w:sz w:val="32"/>
          <w:szCs w:val="32"/>
        </w:rPr>
        <w:t>年</w:t>
      </w:r>
      <w:r>
        <w:rPr>
          <w:rFonts w:hint="eastAsia" w:ascii="仿宋" w:hAnsi="仿宋" w:eastAsia="仿宋"/>
          <w:sz w:val="32"/>
          <w:szCs w:val="32"/>
        </w:rPr>
        <w:t>3</w:t>
      </w:r>
      <w:r>
        <w:rPr>
          <w:rFonts w:ascii="仿宋" w:hAnsi="仿宋" w:eastAsia="仿宋"/>
          <w:sz w:val="32"/>
          <w:szCs w:val="32"/>
        </w:rPr>
        <w:t>月）</w:t>
      </w:r>
      <w:r>
        <w:rPr>
          <w:rFonts w:hint="eastAsia" w:ascii="仿宋" w:hAnsi="仿宋" w:eastAsia="仿宋"/>
          <w:sz w:val="32"/>
          <w:szCs w:val="32"/>
        </w:rPr>
        <w:t>》</w:t>
      </w:r>
      <w:r>
        <w:rPr>
          <w:rFonts w:ascii="仿宋" w:hAnsi="仿宋" w:eastAsia="仿宋"/>
          <w:sz w:val="32"/>
          <w:szCs w:val="32"/>
        </w:rPr>
        <w:t>文件精神</w:t>
      </w:r>
      <w:r>
        <w:rPr>
          <w:rFonts w:hint="eastAsia" w:ascii="仿宋" w:hAnsi="仿宋" w:eastAsia="仿宋"/>
          <w:sz w:val="32"/>
          <w:szCs w:val="32"/>
        </w:rPr>
        <w:t>，</w:t>
      </w:r>
      <w:r>
        <w:rPr>
          <w:rFonts w:ascii="仿宋" w:hAnsi="仿宋" w:eastAsia="仿宋"/>
          <w:sz w:val="32"/>
          <w:szCs w:val="32"/>
        </w:rPr>
        <w:t>特此制定本办法。</w:t>
      </w:r>
    </w:p>
    <w:p>
      <w:pPr>
        <w:snapToGrid w:val="0"/>
        <w:spacing w:line="348" w:lineRule="auto"/>
        <w:ind w:firstLine="640" w:firstLineChars="200"/>
        <w:rPr>
          <w:rFonts w:ascii="仿宋" w:hAnsi="仿宋" w:eastAsia="仿宋"/>
          <w:sz w:val="32"/>
          <w:szCs w:val="32"/>
        </w:rPr>
      </w:pPr>
      <w:r>
        <w:rPr>
          <w:rFonts w:ascii="仿宋" w:hAnsi="仿宋" w:eastAsia="仿宋"/>
          <w:sz w:val="32"/>
          <w:szCs w:val="32"/>
        </w:rPr>
        <w:t xml:space="preserve">第二条  </w:t>
      </w:r>
      <w:r>
        <w:rPr>
          <w:rFonts w:hint="eastAsia" w:ascii="仿宋" w:hAnsi="仿宋" w:eastAsia="仿宋"/>
          <w:sz w:val="32"/>
          <w:szCs w:val="32"/>
        </w:rPr>
        <w:t>学院每年春季学期集中组织学制内博士生考核，凡拟申请下一学年二等奖助金的博士生（含新生）必须申请参加该次学院考核（毕业学年除外），考核结果与下一年度博士生奖助金等级挂钩。优生优培博士生单独考核。</w:t>
      </w:r>
    </w:p>
    <w:p>
      <w:pPr>
        <w:snapToGrid w:val="0"/>
        <w:spacing w:line="348" w:lineRule="auto"/>
        <w:ind w:firstLine="640" w:firstLineChars="200"/>
        <w:rPr>
          <w:rFonts w:ascii="仿宋" w:hAnsi="仿宋" w:eastAsia="仿宋"/>
          <w:sz w:val="32"/>
          <w:szCs w:val="32"/>
        </w:rPr>
      </w:pPr>
      <w:r>
        <w:rPr>
          <w:rFonts w:ascii="仿宋" w:hAnsi="仿宋" w:eastAsia="仿宋"/>
          <w:sz w:val="32"/>
          <w:szCs w:val="32"/>
        </w:rPr>
        <w:t>第三条  导师</w:t>
      </w:r>
      <w:r>
        <w:rPr>
          <w:rFonts w:hint="eastAsia" w:ascii="仿宋" w:hAnsi="仿宋" w:eastAsia="仿宋"/>
          <w:sz w:val="32"/>
          <w:szCs w:val="32"/>
        </w:rPr>
        <w:t>可以将其中一次学院考核作为博士生开题，其考核内容应录入研究生教育管理系统。</w:t>
      </w:r>
    </w:p>
    <w:p>
      <w:pPr>
        <w:snapToGrid w:val="0"/>
        <w:spacing w:line="348" w:lineRule="auto"/>
        <w:ind w:firstLine="640" w:firstLineChars="200"/>
        <w:rPr>
          <w:rFonts w:ascii="仿宋" w:hAnsi="仿宋" w:eastAsia="仿宋"/>
          <w:sz w:val="32"/>
          <w:szCs w:val="32"/>
        </w:rPr>
      </w:pPr>
      <w:r>
        <w:rPr>
          <w:rFonts w:ascii="仿宋" w:hAnsi="仿宋" w:eastAsia="仿宋"/>
          <w:sz w:val="32"/>
          <w:szCs w:val="32"/>
        </w:rPr>
        <w:t xml:space="preserve">第四条  </w:t>
      </w:r>
      <w:r>
        <w:rPr>
          <w:rFonts w:hint="eastAsia" w:ascii="仿宋" w:hAnsi="仿宋" w:eastAsia="仿宋"/>
          <w:sz w:val="32"/>
          <w:szCs w:val="32"/>
        </w:rPr>
        <w:t>导师可以将其中一次学院考核作为博士生中期考核，其考核内容应录入研究生教育管理系统。</w:t>
      </w:r>
    </w:p>
    <w:p>
      <w:pPr>
        <w:snapToGrid w:val="0"/>
        <w:spacing w:line="348" w:lineRule="auto"/>
        <w:jc w:val="center"/>
        <w:rPr>
          <w:rFonts w:ascii="仿宋" w:hAnsi="仿宋" w:eastAsia="仿宋"/>
          <w:b/>
          <w:sz w:val="32"/>
          <w:szCs w:val="32"/>
        </w:rPr>
      </w:pPr>
      <w:r>
        <w:rPr>
          <w:rFonts w:hint="eastAsia" w:ascii="仿宋" w:hAnsi="仿宋" w:eastAsia="仿宋"/>
          <w:b/>
          <w:sz w:val="32"/>
          <w:szCs w:val="32"/>
        </w:rPr>
        <w:t>第二章  时间及组织安排</w:t>
      </w:r>
    </w:p>
    <w:p>
      <w:pPr>
        <w:snapToGrid w:val="0"/>
        <w:spacing w:line="348" w:lineRule="auto"/>
        <w:ind w:firstLine="640" w:firstLineChars="200"/>
        <w:rPr>
          <w:rFonts w:ascii="仿宋" w:hAnsi="仿宋" w:eastAsia="仿宋"/>
          <w:sz w:val="32"/>
          <w:szCs w:val="32"/>
        </w:rPr>
      </w:pPr>
      <w:r>
        <w:rPr>
          <w:rFonts w:hint="eastAsia" w:ascii="仿宋" w:hAnsi="仿宋" w:eastAsia="仿宋"/>
          <w:sz w:val="32"/>
          <w:szCs w:val="32"/>
        </w:rPr>
        <w:t>第五条  学院考核工作统一安排在每学年的春季学期中后期进行。</w:t>
      </w:r>
    </w:p>
    <w:p>
      <w:pPr>
        <w:snapToGrid w:val="0"/>
        <w:spacing w:line="348" w:lineRule="auto"/>
        <w:ind w:firstLine="640" w:firstLineChars="200"/>
        <w:rPr>
          <w:rFonts w:ascii="仿宋" w:hAnsi="仿宋" w:eastAsia="仿宋"/>
          <w:sz w:val="32"/>
          <w:szCs w:val="32"/>
        </w:rPr>
      </w:pPr>
      <w:r>
        <w:rPr>
          <w:rFonts w:hint="eastAsia" w:ascii="仿宋" w:hAnsi="仿宋" w:eastAsia="仿宋"/>
          <w:sz w:val="32"/>
          <w:szCs w:val="32"/>
        </w:rPr>
        <w:t>第六条  所有学生提交的申报资料需要经过导师亲自审核其真实性，并在资料的右上角亲笔签名。导师根据学生的科研情况和日常工作表现填写导师推荐意见和推荐的奖助金等级。学院对于申报资料不再进行核实。如通过抽查等方式发现不实情况，全院通报批评，取消该生奖助金评选资格且在学期间不得再申请二等奖助金和其它奖学金，并视情况调减导师招生名额。</w:t>
      </w:r>
    </w:p>
    <w:p>
      <w:pPr>
        <w:snapToGrid w:val="0"/>
        <w:spacing w:line="348" w:lineRule="auto"/>
        <w:ind w:firstLine="640" w:firstLineChars="200"/>
        <w:rPr>
          <w:rFonts w:ascii="仿宋" w:hAnsi="仿宋" w:eastAsia="仿宋"/>
          <w:sz w:val="32"/>
          <w:szCs w:val="32"/>
        </w:rPr>
      </w:pPr>
      <w:r>
        <w:rPr>
          <w:rFonts w:hint="eastAsia" w:ascii="仿宋" w:hAnsi="仿宋" w:eastAsia="仿宋"/>
          <w:sz w:val="32"/>
          <w:szCs w:val="32"/>
        </w:rPr>
        <w:t>第七条  学院对所有申报资料进行汇总，如非汇总原因造成的资料不正确或者错漏，不接受公示后资料更改。学院奖助金评审小组对提交的资料进行形式审查，不按要求填写的视为形式审查不合格。经过审核后初步筛选出参加答辩人员，并在学院网站公布。</w:t>
      </w:r>
    </w:p>
    <w:p>
      <w:pPr>
        <w:pStyle w:val="11"/>
        <w:snapToGrid w:val="0"/>
        <w:spacing w:beforeLines="0" w:line="348" w:lineRule="auto"/>
        <w:ind w:firstLine="640" w:firstLineChars="200"/>
        <w:rPr>
          <w:rFonts w:ascii="仿宋" w:hAnsi="仿宋" w:eastAsia="仿宋"/>
          <w:sz w:val="32"/>
          <w:szCs w:val="32"/>
        </w:rPr>
      </w:pPr>
      <w:r>
        <w:rPr>
          <w:rFonts w:ascii="仿宋" w:hAnsi="仿宋" w:eastAsia="仿宋"/>
          <w:sz w:val="32"/>
          <w:szCs w:val="32"/>
        </w:rPr>
        <w:t>第</w:t>
      </w:r>
      <w:r>
        <w:rPr>
          <w:rFonts w:hint="eastAsia" w:ascii="仿宋" w:hAnsi="仿宋" w:eastAsia="仿宋"/>
          <w:sz w:val="32"/>
          <w:szCs w:val="32"/>
        </w:rPr>
        <w:t>八</w:t>
      </w:r>
      <w:r>
        <w:rPr>
          <w:rFonts w:ascii="仿宋" w:hAnsi="仿宋" w:eastAsia="仿宋"/>
          <w:sz w:val="32"/>
          <w:szCs w:val="32"/>
        </w:rPr>
        <w:t>条</w:t>
      </w:r>
      <w:r>
        <w:rPr>
          <w:rFonts w:hint="eastAsia" w:ascii="仿宋" w:hAnsi="仿宋" w:eastAsia="仿宋"/>
          <w:sz w:val="32"/>
          <w:szCs w:val="32"/>
        </w:rPr>
        <w:t xml:space="preserve">  研究生奖助金的基本申请条件为：</w:t>
      </w:r>
    </w:p>
    <w:p>
      <w:pPr>
        <w:pStyle w:val="11"/>
        <w:snapToGrid w:val="0"/>
        <w:spacing w:beforeLines="0" w:line="348" w:lineRule="auto"/>
        <w:ind w:firstLine="640" w:firstLineChars="200"/>
        <w:rPr>
          <w:rFonts w:ascii="仿宋" w:hAnsi="仿宋" w:eastAsia="仿宋"/>
          <w:sz w:val="32"/>
          <w:szCs w:val="32"/>
        </w:rPr>
      </w:pPr>
      <w:r>
        <w:rPr>
          <w:rFonts w:hint="eastAsia" w:ascii="仿宋" w:hAnsi="仿宋" w:eastAsia="仿宋"/>
          <w:sz w:val="32"/>
          <w:szCs w:val="32"/>
        </w:rPr>
        <w:t>（一）热爱社会主义祖国，拥护中国共产党领导；</w:t>
      </w:r>
    </w:p>
    <w:p>
      <w:pPr>
        <w:pStyle w:val="11"/>
        <w:snapToGrid w:val="0"/>
        <w:spacing w:beforeLines="0" w:line="348" w:lineRule="auto"/>
        <w:ind w:firstLine="640" w:firstLineChars="200"/>
        <w:rPr>
          <w:rFonts w:ascii="仿宋" w:hAnsi="仿宋" w:eastAsia="仿宋"/>
          <w:sz w:val="32"/>
          <w:szCs w:val="32"/>
        </w:rPr>
      </w:pPr>
      <w:r>
        <w:rPr>
          <w:rFonts w:hint="eastAsia" w:ascii="仿宋" w:hAnsi="仿宋" w:eastAsia="仿宋"/>
          <w:sz w:val="32"/>
          <w:szCs w:val="32"/>
        </w:rPr>
        <w:t>（二）遵守宪法和法律，遵守学校规章制度；</w:t>
      </w:r>
    </w:p>
    <w:p>
      <w:pPr>
        <w:pStyle w:val="11"/>
        <w:snapToGrid w:val="0"/>
        <w:spacing w:beforeLines="0" w:line="348" w:lineRule="auto"/>
        <w:ind w:firstLine="640" w:firstLineChars="200"/>
        <w:rPr>
          <w:rFonts w:ascii="仿宋" w:hAnsi="仿宋" w:eastAsia="仿宋"/>
          <w:sz w:val="32"/>
          <w:szCs w:val="32"/>
        </w:rPr>
      </w:pPr>
      <w:r>
        <w:rPr>
          <w:rFonts w:hint="eastAsia" w:ascii="仿宋" w:hAnsi="仿宋" w:eastAsia="仿宋"/>
          <w:sz w:val="32"/>
          <w:szCs w:val="32"/>
        </w:rPr>
        <w:t>（三）诚实守信，品学兼优；</w:t>
      </w:r>
    </w:p>
    <w:p>
      <w:pPr>
        <w:pStyle w:val="11"/>
        <w:snapToGrid w:val="0"/>
        <w:spacing w:beforeLines="0" w:line="348" w:lineRule="auto"/>
        <w:ind w:firstLine="640" w:firstLineChars="200"/>
        <w:rPr>
          <w:rFonts w:ascii="仿宋" w:hAnsi="仿宋" w:eastAsia="仿宋"/>
          <w:sz w:val="32"/>
          <w:szCs w:val="32"/>
        </w:rPr>
      </w:pPr>
      <w:r>
        <w:rPr>
          <w:rFonts w:hint="eastAsia" w:ascii="仿宋" w:hAnsi="仿宋" w:eastAsia="仿宋"/>
          <w:sz w:val="32"/>
          <w:szCs w:val="32"/>
        </w:rPr>
        <w:t>（四）积极参与科学研究和社会实践；</w:t>
      </w:r>
    </w:p>
    <w:p>
      <w:pPr>
        <w:pStyle w:val="11"/>
        <w:snapToGrid w:val="0"/>
        <w:spacing w:beforeLines="0" w:line="348" w:lineRule="auto"/>
        <w:ind w:firstLine="640" w:firstLineChars="200"/>
        <w:rPr>
          <w:rFonts w:ascii="仿宋" w:hAnsi="仿宋" w:eastAsia="仿宋"/>
          <w:sz w:val="32"/>
          <w:szCs w:val="32"/>
        </w:rPr>
      </w:pPr>
      <w:r>
        <w:rPr>
          <w:rFonts w:hint="eastAsia" w:ascii="仿宋" w:hAnsi="仿宋" w:eastAsia="仿宋"/>
          <w:sz w:val="32"/>
          <w:szCs w:val="32"/>
        </w:rPr>
        <w:t>（五）高年级学生前一学年度已达到学校培养计划所规定的学习要求，并考核合格；</w:t>
      </w:r>
    </w:p>
    <w:p>
      <w:pPr>
        <w:pStyle w:val="11"/>
        <w:snapToGrid w:val="0"/>
        <w:spacing w:beforeLines="0" w:line="348" w:lineRule="auto"/>
        <w:ind w:firstLine="640" w:firstLineChars="200"/>
        <w:rPr>
          <w:rFonts w:ascii="仿宋" w:hAnsi="仿宋" w:eastAsia="仿宋"/>
          <w:sz w:val="32"/>
          <w:szCs w:val="32"/>
        </w:rPr>
      </w:pPr>
      <w:r>
        <w:rPr>
          <w:rFonts w:hint="eastAsia" w:ascii="仿宋" w:hAnsi="仿宋" w:eastAsia="仿宋"/>
          <w:sz w:val="32"/>
          <w:szCs w:val="32"/>
        </w:rPr>
        <w:t>（六）完成学校规定的教学助理、科研助手工作任务。</w:t>
      </w:r>
    </w:p>
    <w:p>
      <w:pPr>
        <w:pStyle w:val="11"/>
        <w:snapToGrid w:val="0"/>
        <w:spacing w:beforeLines="0" w:line="348" w:lineRule="auto"/>
        <w:ind w:firstLine="640" w:firstLineChars="200"/>
        <w:rPr>
          <w:rFonts w:ascii="仿宋" w:hAnsi="仿宋" w:eastAsia="仿宋"/>
          <w:sz w:val="32"/>
          <w:szCs w:val="32"/>
        </w:rPr>
      </w:pPr>
      <w:r>
        <w:rPr>
          <w:rFonts w:hint="eastAsia" w:ascii="仿宋" w:hAnsi="仿宋" w:eastAsia="仿宋"/>
          <w:sz w:val="32"/>
          <w:szCs w:val="32"/>
        </w:rPr>
        <w:t>第九条  研究生有下列情形之一者，不具备当年学业奖学金、学业助学金参评资格：</w:t>
      </w:r>
    </w:p>
    <w:p>
      <w:pPr>
        <w:pStyle w:val="11"/>
        <w:snapToGrid w:val="0"/>
        <w:spacing w:beforeLines="0" w:line="348" w:lineRule="auto"/>
        <w:ind w:firstLine="640" w:firstLineChars="200"/>
        <w:rPr>
          <w:rFonts w:ascii="仿宋" w:hAnsi="仿宋" w:eastAsia="仿宋"/>
          <w:sz w:val="32"/>
          <w:szCs w:val="32"/>
        </w:rPr>
      </w:pPr>
      <w:r>
        <w:rPr>
          <w:rFonts w:hint="eastAsia" w:ascii="仿宋" w:hAnsi="仿宋" w:eastAsia="仿宋"/>
          <w:sz w:val="32"/>
          <w:szCs w:val="32"/>
        </w:rPr>
        <w:t>（一）在申请资料中弄虚作假者；</w:t>
      </w:r>
    </w:p>
    <w:p>
      <w:pPr>
        <w:pStyle w:val="11"/>
        <w:snapToGrid w:val="0"/>
        <w:spacing w:beforeLines="0" w:line="348" w:lineRule="auto"/>
        <w:ind w:firstLine="640" w:firstLineChars="200"/>
        <w:rPr>
          <w:rFonts w:ascii="仿宋" w:hAnsi="仿宋" w:eastAsia="仿宋"/>
          <w:sz w:val="32"/>
          <w:szCs w:val="32"/>
        </w:rPr>
      </w:pPr>
      <w:r>
        <w:rPr>
          <w:rFonts w:hint="eastAsia" w:ascii="仿宋" w:hAnsi="仿宋" w:eastAsia="仿宋"/>
          <w:sz w:val="32"/>
          <w:szCs w:val="32"/>
        </w:rPr>
        <w:t>（二）参评年度因违反校纪校规受纪律处分者；</w:t>
      </w:r>
    </w:p>
    <w:p>
      <w:pPr>
        <w:pStyle w:val="11"/>
        <w:snapToGrid w:val="0"/>
        <w:spacing w:beforeLines="0" w:line="348" w:lineRule="auto"/>
        <w:ind w:firstLine="640" w:firstLineChars="200"/>
        <w:rPr>
          <w:rFonts w:ascii="仿宋" w:hAnsi="仿宋" w:eastAsia="仿宋"/>
          <w:sz w:val="32"/>
          <w:szCs w:val="32"/>
        </w:rPr>
      </w:pPr>
      <w:r>
        <w:rPr>
          <w:rFonts w:hint="eastAsia" w:ascii="仿宋" w:hAnsi="仿宋" w:eastAsia="仿宋"/>
          <w:sz w:val="32"/>
          <w:szCs w:val="32"/>
        </w:rPr>
        <w:t>（三）参评年度有抄袭剽窃、弄虚作假等学术不端行为经查证属实者；</w:t>
      </w:r>
    </w:p>
    <w:p>
      <w:pPr>
        <w:pStyle w:val="11"/>
        <w:snapToGrid w:val="0"/>
        <w:spacing w:beforeLines="0" w:line="348" w:lineRule="auto"/>
        <w:ind w:firstLine="640" w:firstLineChars="200"/>
        <w:rPr>
          <w:rFonts w:ascii="仿宋" w:hAnsi="仿宋" w:eastAsia="仿宋"/>
          <w:sz w:val="32"/>
          <w:szCs w:val="32"/>
        </w:rPr>
      </w:pPr>
      <w:r>
        <w:rPr>
          <w:rFonts w:hint="eastAsia" w:ascii="仿宋" w:hAnsi="仿宋" w:eastAsia="仿宋"/>
          <w:sz w:val="32"/>
          <w:szCs w:val="32"/>
        </w:rPr>
        <w:t>（四）在科研工作中，违反工作程序，导致严重后果者；</w:t>
      </w:r>
    </w:p>
    <w:p>
      <w:pPr>
        <w:pStyle w:val="11"/>
        <w:snapToGrid w:val="0"/>
        <w:spacing w:beforeLines="0" w:line="348" w:lineRule="auto"/>
        <w:ind w:firstLine="640" w:firstLineChars="200"/>
        <w:rPr>
          <w:rFonts w:ascii="仿宋" w:hAnsi="仿宋" w:eastAsia="仿宋"/>
          <w:sz w:val="32"/>
          <w:szCs w:val="32"/>
        </w:rPr>
      </w:pPr>
      <w:r>
        <w:rPr>
          <w:rFonts w:hint="eastAsia" w:ascii="仿宋" w:hAnsi="仿宋" w:eastAsia="仿宋"/>
          <w:sz w:val="32"/>
          <w:szCs w:val="32"/>
        </w:rPr>
        <w:t>（五）考核年度教学助理、科研助手工作考核不合格者；</w:t>
      </w:r>
    </w:p>
    <w:p>
      <w:pPr>
        <w:pStyle w:val="11"/>
        <w:snapToGrid w:val="0"/>
        <w:spacing w:beforeLines="0" w:line="348" w:lineRule="auto"/>
        <w:ind w:firstLine="640" w:firstLineChars="200"/>
        <w:rPr>
          <w:rFonts w:ascii="仿宋" w:hAnsi="仿宋" w:eastAsia="仿宋"/>
          <w:sz w:val="32"/>
          <w:szCs w:val="32"/>
        </w:rPr>
      </w:pPr>
      <w:r>
        <w:rPr>
          <w:rFonts w:hint="eastAsia" w:ascii="仿宋" w:hAnsi="仿宋" w:eastAsia="仿宋"/>
          <w:sz w:val="32"/>
          <w:szCs w:val="32"/>
        </w:rPr>
        <w:t>（六）考核年度有必修课程考试不合格或专业选修课不及格者；</w:t>
      </w:r>
    </w:p>
    <w:p>
      <w:pPr>
        <w:pStyle w:val="11"/>
        <w:snapToGrid w:val="0"/>
        <w:spacing w:beforeLines="0" w:line="348" w:lineRule="auto"/>
        <w:ind w:firstLine="640" w:firstLineChars="200"/>
        <w:rPr>
          <w:rFonts w:ascii="仿宋" w:hAnsi="仿宋" w:eastAsia="仿宋"/>
          <w:sz w:val="32"/>
          <w:szCs w:val="32"/>
        </w:rPr>
      </w:pPr>
      <w:r>
        <w:rPr>
          <w:rFonts w:hint="eastAsia" w:ascii="仿宋" w:hAnsi="仿宋" w:eastAsia="仿宋"/>
          <w:sz w:val="32"/>
          <w:szCs w:val="32"/>
        </w:rPr>
        <w:t>（七）导师及培养单位根据相关规定认定的不予资助的其他情形。</w:t>
      </w:r>
      <w:r>
        <w:rPr>
          <w:rFonts w:ascii="仿宋" w:hAnsi="仿宋" w:eastAsia="仿宋"/>
          <w:sz w:val="32"/>
          <w:szCs w:val="32"/>
        </w:rPr>
        <w:t xml:space="preserve"> </w:t>
      </w:r>
    </w:p>
    <w:p>
      <w:pPr>
        <w:pStyle w:val="11"/>
        <w:snapToGrid w:val="0"/>
        <w:spacing w:beforeLines="0" w:line="348" w:lineRule="auto"/>
        <w:ind w:firstLine="640" w:firstLineChars="200"/>
        <w:rPr>
          <w:rFonts w:ascii="仿宋" w:hAnsi="仿宋" w:eastAsia="仿宋"/>
          <w:sz w:val="32"/>
          <w:szCs w:val="32"/>
        </w:rPr>
      </w:pPr>
      <w:r>
        <w:rPr>
          <w:rFonts w:ascii="仿宋" w:hAnsi="仿宋" w:eastAsia="仿宋"/>
          <w:sz w:val="32"/>
          <w:szCs w:val="32"/>
        </w:rPr>
        <w:t>第十条</w:t>
      </w:r>
      <w:r>
        <w:rPr>
          <w:rFonts w:hint="eastAsia" w:ascii="仿宋" w:hAnsi="仿宋" w:eastAsia="仿宋"/>
          <w:sz w:val="32"/>
          <w:szCs w:val="32"/>
        </w:rPr>
        <w:t xml:space="preserve">  </w:t>
      </w:r>
      <w:r>
        <w:rPr>
          <w:rFonts w:ascii="仿宋" w:hAnsi="仿宋" w:eastAsia="仿宋"/>
          <w:sz w:val="32"/>
          <w:szCs w:val="32"/>
        </w:rPr>
        <w:t>研究生有下列情形的，终止发放学业助学金：</w:t>
      </w:r>
    </w:p>
    <w:p>
      <w:pPr>
        <w:pStyle w:val="11"/>
        <w:snapToGrid w:val="0"/>
        <w:spacing w:beforeLines="0" w:line="348" w:lineRule="auto"/>
        <w:ind w:firstLine="640" w:firstLineChars="200"/>
        <w:rPr>
          <w:rFonts w:ascii="仿宋" w:hAnsi="仿宋" w:eastAsia="仿宋"/>
          <w:sz w:val="32"/>
          <w:szCs w:val="32"/>
        </w:rPr>
      </w:pPr>
      <w:r>
        <w:rPr>
          <w:rFonts w:ascii="仿宋" w:hAnsi="仿宋" w:eastAsia="仿宋"/>
          <w:sz w:val="32"/>
          <w:szCs w:val="32"/>
        </w:rPr>
        <w:t>（一）在本年度申请资料中弄虚作假；</w:t>
      </w:r>
    </w:p>
    <w:p>
      <w:pPr>
        <w:pStyle w:val="11"/>
        <w:snapToGrid w:val="0"/>
        <w:spacing w:beforeLines="0" w:line="348" w:lineRule="auto"/>
        <w:ind w:firstLine="640" w:firstLineChars="200"/>
        <w:rPr>
          <w:rFonts w:ascii="仿宋" w:hAnsi="仿宋" w:eastAsia="仿宋"/>
          <w:sz w:val="32"/>
          <w:szCs w:val="32"/>
        </w:rPr>
      </w:pPr>
      <w:r>
        <w:rPr>
          <w:rFonts w:ascii="仿宋" w:hAnsi="仿宋" w:eastAsia="仿宋"/>
          <w:sz w:val="32"/>
          <w:szCs w:val="32"/>
        </w:rPr>
        <w:t>（二）因违反校纪校规受纪律处分；</w:t>
      </w:r>
    </w:p>
    <w:p>
      <w:pPr>
        <w:pStyle w:val="11"/>
        <w:snapToGrid w:val="0"/>
        <w:spacing w:beforeLines="0" w:line="348" w:lineRule="auto"/>
        <w:ind w:firstLine="640" w:firstLineChars="200"/>
        <w:rPr>
          <w:rFonts w:ascii="仿宋" w:hAnsi="仿宋" w:eastAsia="仿宋"/>
          <w:sz w:val="32"/>
          <w:szCs w:val="32"/>
        </w:rPr>
      </w:pPr>
      <w:r>
        <w:rPr>
          <w:rFonts w:ascii="仿宋" w:hAnsi="仿宋" w:eastAsia="仿宋"/>
          <w:sz w:val="32"/>
          <w:szCs w:val="32"/>
        </w:rPr>
        <w:t>（三）考试作弊或有抄袭、剽窃他人成果等学术不端行为；</w:t>
      </w:r>
    </w:p>
    <w:p>
      <w:pPr>
        <w:pStyle w:val="11"/>
        <w:snapToGrid w:val="0"/>
        <w:spacing w:beforeLines="0" w:line="348" w:lineRule="auto"/>
        <w:ind w:firstLine="640" w:firstLineChars="200"/>
        <w:rPr>
          <w:rFonts w:ascii="仿宋" w:hAnsi="仿宋" w:eastAsia="仿宋"/>
          <w:sz w:val="32"/>
          <w:szCs w:val="32"/>
        </w:rPr>
      </w:pPr>
      <w:r>
        <w:rPr>
          <w:rFonts w:ascii="仿宋" w:hAnsi="仿宋" w:eastAsia="仿宋"/>
          <w:sz w:val="32"/>
          <w:szCs w:val="32"/>
        </w:rPr>
        <w:t>（四）在科研工作中，违反工作程序，导致严重后果；</w:t>
      </w:r>
    </w:p>
    <w:p>
      <w:pPr>
        <w:pStyle w:val="11"/>
        <w:snapToGrid w:val="0"/>
        <w:spacing w:beforeLines="0" w:line="348" w:lineRule="auto"/>
        <w:ind w:firstLine="640" w:firstLineChars="200"/>
        <w:rPr>
          <w:rFonts w:ascii="仿宋" w:hAnsi="仿宋" w:eastAsia="仿宋"/>
          <w:sz w:val="32"/>
          <w:szCs w:val="32"/>
        </w:rPr>
      </w:pPr>
      <w:r>
        <w:rPr>
          <w:rFonts w:ascii="仿宋" w:hAnsi="仿宋" w:eastAsia="仿宋"/>
          <w:sz w:val="32"/>
          <w:szCs w:val="32"/>
        </w:rPr>
        <w:t>（五）中期考核不通过。</w:t>
      </w:r>
    </w:p>
    <w:p>
      <w:pPr>
        <w:pStyle w:val="11"/>
        <w:snapToGrid w:val="0"/>
        <w:spacing w:beforeLines="0" w:line="348" w:lineRule="auto"/>
        <w:ind w:firstLine="640" w:firstLineChars="200"/>
        <w:rPr>
          <w:rFonts w:ascii="仿宋" w:hAnsi="仿宋" w:eastAsia="仿宋"/>
          <w:sz w:val="32"/>
          <w:szCs w:val="32"/>
        </w:rPr>
      </w:pPr>
      <w:r>
        <w:rPr>
          <w:rFonts w:ascii="仿宋" w:hAnsi="仿宋" w:eastAsia="仿宋"/>
          <w:sz w:val="32"/>
          <w:szCs w:val="32"/>
        </w:rPr>
        <w:t>因本条第一项终止发放学业助学金的，学校同时收回当年已发放的学业奖学金和学业助学金。</w:t>
      </w:r>
    </w:p>
    <w:p>
      <w:pPr>
        <w:snapToGrid w:val="0"/>
        <w:spacing w:line="348" w:lineRule="auto"/>
        <w:ind w:firstLine="640" w:firstLineChars="200"/>
        <w:rPr>
          <w:rFonts w:ascii="仿宋" w:hAnsi="仿宋" w:eastAsia="仿宋"/>
          <w:sz w:val="32"/>
          <w:szCs w:val="32"/>
        </w:rPr>
      </w:pPr>
      <w:r>
        <w:rPr>
          <w:rFonts w:hint="eastAsia" w:ascii="仿宋" w:hAnsi="仿宋" w:eastAsia="仿宋"/>
          <w:sz w:val="32"/>
          <w:szCs w:val="32"/>
        </w:rPr>
        <w:t>第十一条  学院考核工作根据学科特色以相近学科方向组成考核小组统一组织考核，具体组织安排及实施工作由学院研究生教育与学位专门委员会成员负责，考核小组成员由相应学科博士生导师组成，人数</w:t>
      </w:r>
      <w:r>
        <w:rPr>
          <w:rFonts w:ascii="仿宋" w:hAnsi="仿宋" w:eastAsia="仿宋"/>
          <w:sz w:val="32"/>
          <w:szCs w:val="32"/>
        </w:rPr>
        <w:t>5</w:t>
      </w:r>
      <w:r>
        <w:rPr>
          <w:rFonts w:hint="eastAsia" w:ascii="仿宋" w:hAnsi="仿宋" w:eastAsia="仿宋"/>
          <w:sz w:val="32"/>
          <w:szCs w:val="32"/>
        </w:rPr>
        <w:t>-7</w:t>
      </w:r>
      <w:r>
        <w:rPr>
          <w:rFonts w:ascii="仿宋" w:hAnsi="仿宋" w:eastAsia="仿宋"/>
          <w:sz w:val="32"/>
          <w:szCs w:val="32"/>
        </w:rPr>
        <w:t>人</w:t>
      </w:r>
      <w:r>
        <w:rPr>
          <w:rFonts w:hint="eastAsia" w:ascii="仿宋" w:hAnsi="仿宋" w:eastAsia="仿宋"/>
          <w:sz w:val="32"/>
          <w:szCs w:val="32"/>
        </w:rPr>
        <w:t>（含校外专家）。采用导师回避原则，有博士生参加答辩的导师不得作为该组考核小组成员。</w:t>
      </w:r>
    </w:p>
    <w:p>
      <w:pPr>
        <w:snapToGrid w:val="0"/>
        <w:spacing w:line="348" w:lineRule="auto"/>
        <w:ind w:firstLine="640" w:firstLineChars="200"/>
        <w:rPr>
          <w:rFonts w:ascii="仿宋" w:hAnsi="仿宋" w:eastAsia="仿宋"/>
          <w:sz w:val="32"/>
          <w:szCs w:val="32"/>
        </w:rPr>
      </w:pPr>
      <w:r>
        <w:rPr>
          <w:rFonts w:hint="eastAsia" w:ascii="仿宋" w:hAnsi="仿宋" w:eastAsia="仿宋"/>
          <w:sz w:val="32"/>
          <w:szCs w:val="32"/>
        </w:rPr>
        <w:t>第十二条  对于博士新生，按硕博连读、申请考核、直博三类进行分组考核，根据当年的实际申请人数进行分组。</w:t>
      </w:r>
    </w:p>
    <w:p>
      <w:pPr>
        <w:snapToGrid w:val="0"/>
        <w:spacing w:line="348" w:lineRule="auto"/>
        <w:ind w:firstLine="640" w:firstLineChars="200"/>
        <w:rPr>
          <w:rFonts w:ascii="仿宋" w:hAnsi="仿宋" w:eastAsia="仿宋"/>
          <w:sz w:val="32"/>
          <w:szCs w:val="32"/>
        </w:rPr>
      </w:pPr>
      <w:r>
        <w:rPr>
          <w:rFonts w:hint="eastAsia" w:ascii="仿宋" w:hAnsi="仿宋" w:eastAsia="仿宋"/>
          <w:sz w:val="32"/>
          <w:szCs w:val="32"/>
        </w:rPr>
        <w:t>对于硕博连读、申请考核的一、二年级博士老生，根据学科情况将所有专业分为6组进行考核。分组情况如下：第一组包括微生物学、遗传学、细胞生物学、生物技术、生物信息学、生物物理学专业学生；第二组和第三组包括生物化学与分子生物学专业学生，具体分组随机抽签决定；第四组包括植物学、发育生物学专业学生；第五组包括海洋生物学、动物学、生理学、水生生物学、食品安全生物学、农业昆虫与害虫防治专业学生；第六组包括生态学、环境科学专业学生。</w:t>
      </w:r>
    </w:p>
    <w:p>
      <w:pPr>
        <w:snapToGrid w:val="0"/>
        <w:spacing w:line="348" w:lineRule="auto"/>
        <w:ind w:firstLine="640" w:firstLineChars="200"/>
        <w:rPr>
          <w:rFonts w:ascii="仿宋" w:hAnsi="仿宋" w:eastAsia="仿宋"/>
          <w:sz w:val="32"/>
          <w:szCs w:val="32"/>
        </w:rPr>
      </w:pPr>
      <w:r>
        <w:rPr>
          <w:rFonts w:hint="eastAsia" w:ascii="仿宋" w:hAnsi="仿宋" w:eastAsia="仿宋"/>
          <w:sz w:val="32"/>
          <w:szCs w:val="32"/>
        </w:rPr>
        <w:t>对于直博的一、二、三、四年级博士老生，根据学科情况将所有专业分为2组进行考核。分组情况如下：第一组包括生物化学与分子生物学、遗传学、细胞生物学、发育生物学、生物技术、生物信息学、生物物理学专业的学生；第二组包括动物学、海洋生物学、水生生物学、食品安全生物学、农业昆虫与害虫防治、生理学、微生物学、植物学、环境科学、生态学专业的学生。在考核中，直博一、二年级学生的第一组与硕博连读、申请考核一、二年级学生的第二或第三组共同考核，第二组与硕博连读、申请考核一、二年级学生的第六组共同考核，直博生单独排名。直博三、四年级学生则单独考核。</w:t>
      </w:r>
    </w:p>
    <w:p>
      <w:pPr>
        <w:snapToGrid w:val="0"/>
        <w:spacing w:line="348" w:lineRule="auto"/>
        <w:ind w:firstLine="640" w:firstLineChars="200"/>
        <w:rPr>
          <w:rFonts w:ascii="仿宋" w:hAnsi="仿宋" w:eastAsia="仿宋"/>
          <w:sz w:val="32"/>
          <w:szCs w:val="32"/>
        </w:rPr>
      </w:pPr>
      <w:r>
        <w:rPr>
          <w:rFonts w:hint="eastAsia" w:ascii="仿宋" w:hAnsi="仿宋" w:eastAsia="仿宋"/>
          <w:sz w:val="32"/>
          <w:szCs w:val="32"/>
        </w:rPr>
        <w:t>第十三条  下一学年各组博士生二等奖助金等级基本名额的分配方式如下。每组的分配名额由学院研究生教育与学位专门委员会在基础数据的基础上讨论决定。各考核小组根据考核结果确定博士生奖助金的推荐等级。</w:t>
      </w:r>
    </w:p>
    <w:p>
      <w:pPr>
        <w:snapToGrid w:val="0"/>
        <w:spacing w:line="348" w:lineRule="auto"/>
        <w:ind w:firstLine="640" w:firstLineChars="200"/>
        <w:rPr>
          <w:rFonts w:ascii="仿宋" w:hAnsi="仿宋" w:eastAsia="仿宋"/>
          <w:sz w:val="32"/>
          <w:szCs w:val="32"/>
        </w:rPr>
      </w:pPr>
      <w:r>
        <w:rPr>
          <w:rFonts w:hint="eastAsia" w:ascii="仿宋" w:hAnsi="仿宋" w:eastAsia="仿宋"/>
          <w:sz w:val="32"/>
          <w:szCs w:val="32"/>
        </w:rPr>
        <w:t>每组二等奖助金基础数据</w:t>
      </w:r>
      <w:r>
        <w:rPr>
          <w:rFonts w:ascii="仿宋" w:hAnsi="仿宋" w:eastAsia="仿宋"/>
          <w:sz w:val="32"/>
          <w:szCs w:val="32"/>
        </w:rPr>
        <w:t>=下拨的博士二等奖助金总数</w:t>
      </w:r>
      <w:r>
        <w:rPr>
          <w:rFonts w:hint="eastAsia" w:ascii="仿宋" w:hAnsi="仿宋" w:eastAsia="仿宋"/>
          <w:sz w:val="32"/>
          <w:szCs w:val="32"/>
        </w:rPr>
        <w:t>*（每组各学科在籍人数-优生优培人数）/（</w:t>
      </w:r>
      <w:r>
        <w:rPr>
          <w:rFonts w:ascii="仿宋" w:hAnsi="仿宋" w:eastAsia="仿宋"/>
          <w:sz w:val="32"/>
          <w:szCs w:val="32"/>
        </w:rPr>
        <w:t>全年级在籍人数</w:t>
      </w:r>
      <w:r>
        <w:rPr>
          <w:rFonts w:hint="eastAsia" w:ascii="仿宋" w:hAnsi="仿宋" w:eastAsia="仿宋"/>
          <w:sz w:val="32"/>
          <w:szCs w:val="32"/>
        </w:rPr>
        <w:t>（不含在职委培和国家专项计划）</w:t>
      </w:r>
      <w:r>
        <w:rPr>
          <w:rFonts w:ascii="仿宋" w:hAnsi="仿宋" w:eastAsia="仿宋"/>
          <w:sz w:val="32"/>
          <w:szCs w:val="32"/>
        </w:rPr>
        <w:t>-优生优</w:t>
      </w:r>
      <w:r>
        <w:rPr>
          <w:rFonts w:hint="eastAsia" w:ascii="仿宋" w:hAnsi="仿宋" w:eastAsia="仿宋"/>
          <w:sz w:val="32"/>
          <w:szCs w:val="32"/>
        </w:rPr>
        <w:t>培人数）</w:t>
      </w:r>
    </w:p>
    <w:p>
      <w:pPr>
        <w:snapToGrid w:val="0"/>
        <w:spacing w:line="348" w:lineRule="auto"/>
        <w:ind w:firstLine="640" w:firstLineChars="200"/>
        <w:rPr>
          <w:rFonts w:ascii="仿宋" w:hAnsi="仿宋" w:eastAsia="仿宋"/>
          <w:sz w:val="32"/>
          <w:szCs w:val="32"/>
        </w:rPr>
      </w:pPr>
      <w:r>
        <w:rPr>
          <w:rFonts w:hint="eastAsia" w:ascii="仿宋" w:hAnsi="仿宋" w:eastAsia="仿宋"/>
          <w:sz w:val="32"/>
          <w:szCs w:val="32"/>
        </w:rPr>
        <w:t>老生每组二等奖助金名额根据以下原则计算：（1）根据上述公式计算出基础数据；（2）对于一、二年级博士老生，直博生的名额分配数根据当年参加考核的直博生人数及工作情况进行调整；（3）由学院研究生教育与学位专门委员会确定。新生每组二等奖助金名额根据以下原则计算：（1）根据上述公式计算出基础数据；（2）适当倾斜硕博连读生；（3）由学院研究生教育与学位专门委员会确定。</w:t>
      </w:r>
    </w:p>
    <w:p>
      <w:pPr>
        <w:snapToGrid w:val="0"/>
        <w:spacing w:line="348" w:lineRule="auto"/>
        <w:ind w:firstLine="640" w:firstLineChars="200"/>
        <w:rPr>
          <w:rFonts w:ascii="仿宋" w:hAnsi="仿宋" w:eastAsia="仿宋"/>
          <w:sz w:val="32"/>
          <w:szCs w:val="32"/>
        </w:rPr>
      </w:pPr>
      <w:r>
        <w:rPr>
          <w:rFonts w:ascii="仿宋" w:hAnsi="仿宋" w:eastAsia="仿宋"/>
          <w:sz w:val="32"/>
          <w:szCs w:val="32"/>
        </w:rPr>
        <w:t>当</w:t>
      </w:r>
      <w:r>
        <w:rPr>
          <w:rFonts w:hint="eastAsia" w:ascii="仿宋" w:hAnsi="仿宋" w:eastAsia="仿宋"/>
          <w:sz w:val="32"/>
          <w:szCs w:val="32"/>
        </w:rPr>
        <w:t>名额不足以按比例平均分配时，对于老生，</w:t>
      </w:r>
      <w:r>
        <w:rPr>
          <w:rFonts w:ascii="仿宋" w:hAnsi="仿宋" w:eastAsia="仿宋"/>
          <w:sz w:val="32"/>
          <w:szCs w:val="32"/>
        </w:rPr>
        <w:t>组间</w:t>
      </w:r>
      <w:r>
        <w:rPr>
          <w:rFonts w:hint="eastAsia" w:ascii="仿宋" w:hAnsi="仿宋" w:eastAsia="仿宋"/>
          <w:sz w:val="32"/>
          <w:szCs w:val="32"/>
        </w:rPr>
        <w:t>考虑学科均衡，组内相近条件下考虑学科均衡。对于新生，组间倾向于硕博连读生，组内相近条件下考虑学科均衡。</w:t>
      </w:r>
    </w:p>
    <w:p>
      <w:pPr>
        <w:snapToGrid w:val="0"/>
        <w:spacing w:line="348" w:lineRule="auto"/>
        <w:jc w:val="center"/>
        <w:rPr>
          <w:rFonts w:ascii="仿宋" w:hAnsi="仿宋" w:eastAsia="仿宋"/>
          <w:b/>
          <w:sz w:val="32"/>
          <w:szCs w:val="32"/>
        </w:rPr>
      </w:pPr>
      <w:r>
        <w:rPr>
          <w:rFonts w:hint="eastAsia" w:ascii="仿宋" w:hAnsi="仿宋" w:eastAsia="仿宋"/>
          <w:b/>
          <w:sz w:val="32"/>
          <w:szCs w:val="32"/>
        </w:rPr>
        <w:t>第三章  考核办法</w:t>
      </w:r>
    </w:p>
    <w:p>
      <w:pPr>
        <w:snapToGrid w:val="0"/>
        <w:spacing w:line="348" w:lineRule="auto"/>
        <w:ind w:firstLine="640" w:firstLineChars="200"/>
        <w:rPr>
          <w:rFonts w:ascii="仿宋" w:hAnsi="仿宋" w:eastAsia="仿宋"/>
          <w:sz w:val="32"/>
          <w:szCs w:val="32"/>
        </w:rPr>
      </w:pPr>
      <w:r>
        <w:rPr>
          <w:rFonts w:ascii="仿宋" w:hAnsi="仿宋" w:eastAsia="仿宋"/>
          <w:sz w:val="32"/>
          <w:szCs w:val="32"/>
        </w:rPr>
        <w:t>第</w:t>
      </w:r>
      <w:r>
        <w:rPr>
          <w:rFonts w:hint="eastAsia" w:ascii="仿宋" w:hAnsi="仿宋" w:eastAsia="仿宋"/>
          <w:sz w:val="32"/>
          <w:szCs w:val="32"/>
        </w:rPr>
        <w:t>十四条  考核小组组长由学院研究生教育与学位管理专门委员会成员或其他教授担任，每个考核小组成员5-7人。考核小组组长负责考核过程以及奖助金的确定，每个考核小组须安排一名秘书负责记录、汇总、资料整理及上报工作。</w:t>
      </w:r>
    </w:p>
    <w:p>
      <w:pPr>
        <w:snapToGrid w:val="0"/>
        <w:spacing w:line="348" w:lineRule="auto"/>
        <w:ind w:firstLine="640" w:firstLineChars="200"/>
        <w:rPr>
          <w:rFonts w:ascii="仿宋" w:hAnsi="仿宋" w:eastAsia="仿宋"/>
          <w:sz w:val="32"/>
          <w:szCs w:val="32"/>
        </w:rPr>
      </w:pPr>
      <w:r>
        <w:rPr>
          <w:rFonts w:hint="eastAsia" w:ascii="仿宋" w:hAnsi="仿宋" w:eastAsia="仿宋"/>
          <w:sz w:val="32"/>
          <w:szCs w:val="32"/>
        </w:rPr>
        <w:t>第十五条  考核以公开汇报会的形式进行，对其他导师和研究生开放。考核进行前应提前3天公开发布考核的时间、地点，以便其他学生和教师旁听。</w:t>
      </w:r>
    </w:p>
    <w:p>
      <w:pPr>
        <w:snapToGrid w:val="0"/>
        <w:spacing w:line="348" w:lineRule="auto"/>
        <w:ind w:firstLine="640" w:firstLineChars="200"/>
        <w:rPr>
          <w:rFonts w:ascii="仿宋" w:hAnsi="仿宋" w:eastAsia="仿宋"/>
          <w:sz w:val="32"/>
          <w:szCs w:val="32"/>
        </w:rPr>
      </w:pPr>
      <w:r>
        <w:rPr>
          <w:rFonts w:hint="eastAsia" w:ascii="仿宋" w:hAnsi="仿宋" w:eastAsia="仿宋"/>
          <w:sz w:val="32"/>
          <w:szCs w:val="32"/>
        </w:rPr>
        <w:t>第十六条  每位博士生的考核时间原则上不超过</w:t>
      </w:r>
      <w:r>
        <w:rPr>
          <w:rFonts w:ascii="仿宋" w:hAnsi="仿宋" w:eastAsia="仿宋"/>
          <w:sz w:val="32"/>
          <w:szCs w:val="32"/>
        </w:rPr>
        <w:t>15</w:t>
      </w:r>
      <w:r>
        <w:rPr>
          <w:rFonts w:hint="eastAsia" w:ascii="仿宋" w:hAnsi="仿宋" w:eastAsia="仿宋"/>
          <w:sz w:val="32"/>
          <w:szCs w:val="32"/>
        </w:rPr>
        <w:t>分钟，学生以</w:t>
      </w:r>
      <w:r>
        <w:rPr>
          <w:rFonts w:ascii="仿宋" w:hAnsi="仿宋" w:eastAsia="仿宋"/>
          <w:sz w:val="32"/>
          <w:szCs w:val="32"/>
        </w:rPr>
        <w:t>PPT</w:t>
      </w:r>
      <w:r>
        <w:rPr>
          <w:rFonts w:hint="eastAsia" w:ascii="仿宋" w:hAnsi="仿宋" w:eastAsia="仿宋"/>
          <w:sz w:val="32"/>
          <w:szCs w:val="32"/>
        </w:rPr>
        <w:t>形式汇报学习和科研工作不超过</w:t>
      </w:r>
      <w:r>
        <w:rPr>
          <w:rFonts w:ascii="仿宋" w:hAnsi="仿宋" w:eastAsia="仿宋"/>
          <w:sz w:val="32"/>
          <w:szCs w:val="32"/>
        </w:rPr>
        <w:t>10分钟，</w:t>
      </w:r>
      <w:r>
        <w:rPr>
          <w:rFonts w:hint="eastAsia" w:ascii="仿宋" w:hAnsi="仿宋" w:eastAsia="仿宋"/>
          <w:sz w:val="32"/>
          <w:szCs w:val="32"/>
        </w:rPr>
        <w:t>考核小组成员提问不超过</w:t>
      </w:r>
      <w:r>
        <w:rPr>
          <w:rFonts w:ascii="仿宋" w:hAnsi="仿宋" w:eastAsia="仿宋"/>
          <w:sz w:val="32"/>
          <w:szCs w:val="32"/>
        </w:rPr>
        <w:t>5分钟</w:t>
      </w:r>
      <w:r>
        <w:rPr>
          <w:rFonts w:hint="eastAsia" w:ascii="仿宋" w:hAnsi="仿宋" w:eastAsia="仿宋"/>
          <w:sz w:val="32"/>
          <w:szCs w:val="32"/>
        </w:rPr>
        <w:t>。参加考核的学生现场抽签决定考核次序，PPT可汇报个人已发表的成果（论文、专利、获奖情况）、未发表的成果（已投稿、已修回、已有研究结果但未投稿）、即将开展的工作计划、思想政治工作和表现（只适用于老生）等。</w:t>
      </w:r>
    </w:p>
    <w:p>
      <w:pPr>
        <w:snapToGrid w:val="0"/>
        <w:spacing w:line="348" w:lineRule="auto"/>
        <w:ind w:firstLine="640" w:firstLineChars="200"/>
        <w:rPr>
          <w:rFonts w:ascii="仿宋" w:hAnsi="仿宋" w:eastAsia="仿宋"/>
          <w:sz w:val="32"/>
          <w:szCs w:val="32"/>
        </w:rPr>
      </w:pPr>
      <w:r>
        <w:rPr>
          <w:rFonts w:hint="eastAsia" w:ascii="仿宋" w:hAnsi="仿宋" w:eastAsia="仿宋"/>
          <w:sz w:val="32"/>
          <w:szCs w:val="32"/>
        </w:rPr>
        <w:t>第十七条  在考核小组充分讨论的基础上，每位考核小组成员对学生已发表的成果（论文、专利、获奖情况）、未发表的成果（已投稿、已修回、已有研究结果但未投稿）、即将开展的工作计划、思想政治工作和表现等进行综合评定，评分表见附表。根据考核小组各成员评分的平均分，</w:t>
      </w:r>
      <w:r>
        <w:rPr>
          <w:rFonts w:ascii="仿宋" w:hAnsi="仿宋" w:eastAsia="仿宋"/>
          <w:sz w:val="32"/>
          <w:szCs w:val="32"/>
        </w:rPr>
        <w:t>对</w:t>
      </w:r>
      <w:r>
        <w:rPr>
          <w:rFonts w:hint="eastAsia" w:ascii="仿宋" w:hAnsi="仿宋" w:eastAsia="仿宋"/>
          <w:sz w:val="32"/>
          <w:szCs w:val="32"/>
        </w:rPr>
        <w:t>考核学生进行排序。组内有2名或以上同学平均分相同时，</w:t>
      </w:r>
      <w:r>
        <w:rPr>
          <w:rFonts w:ascii="仿宋" w:hAnsi="仿宋" w:eastAsia="仿宋"/>
          <w:sz w:val="32"/>
          <w:szCs w:val="32"/>
        </w:rPr>
        <w:t>考核</w:t>
      </w:r>
      <w:r>
        <w:rPr>
          <w:rFonts w:hint="eastAsia" w:ascii="仿宋" w:hAnsi="仿宋" w:eastAsia="仿宋"/>
          <w:sz w:val="32"/>
          <w:szCs w:val="32"/>
        </w:rPr>
        <w:t>小组成员通过投票确定其最终排序，投票时应考虑学科均衡。考核小组按考核成绩从高到低依次确定参加考核学生的组内排名次序，</w:t>
      </w:r>
      <w:r>
        <w:rPr>
          <w:rFonts w:ascii="仿宋" w:hAnsi="仿宋" w:eastAsia="仿宋"/>
          <w:sz w:val="32"/>
          <w:szCs w:val="32"/>
        </w:rPr>
        <w:t>现场</w:t>
      </w:r>
      <w:r>
        <w:rPr>
          <w:rFonts w:hint="eastAsia" w:ascii="仿宋" w:hAnsi="仿宋" w:eastAsia="仿宋"/>
          <w:sz w:val="32"/>
          <w:szCs w:val="32"/>
        </w:rPr>
        <w:t>公布结果并接受异议，</w:t>
      </w:r>
      <w:r>
        <w:rPr>
          <w:rFonts w:ascii="仿宋" w:hAnsi="仿宋" w:eastAsia="仿宋"/>
          <w:sz w:val="32"/>
          <w:szCs w:val="32"/>
        </w:rPr>
        <w:t>考核</w:t>
      </w:r>
      <w:r>
        <w:rPr>
          <w:rFonts w:hint="eastAsia" w:ascii="仿宋" w:hAnsi="仿宋" w:eastAsia="仿宋"/>
          <w:sz w:val="32"/>
          <w:szCs w:val="32"/>
        </w:rPr>
        <w:t>小组现场解答。</w:t>
      </w:r>
      <w:r>
        <w:rPr>
          <w:rFonts w:ascii="仿宋" w:hAnsi="仿宋" w:eastAsia="仿宋"/>
          <w:sz w:val="32"/>
          <w:szCs w:val="32"/>
        </w:rPr>
        <w:t>参加</w:t>
      </w:r>
      <w:r>
        <w:rPr>
          <w:rFonts w:hint="eastAsia" w:ascii="仿宋" w:hAnsi="仿宋" w:eastAsia="仿宋"/>
          <w:sz w:val="32"/>
          <w:szCs w:val="32"/>
        </w:rPr>
        <w:t>考核的学生及考核小组成员均无异议后，考核小组在评定结果上签名，</w:t>
      </w:r>
      <w:r>
        <w:rPr>
          <w:rFonts w:ascii="仿宋" w:hAnsi="仿宋" w:eastAsia="仿宋"/>
          <w:sz w:val="32"/>
          <w:szCs w:val="32"/>
        </w:rPr>
        <w:t>不再</w:t>
      </w:r>
      <w:r>
        <w:rPr>
          <w:rFonts w:hint="eastAsia" w:ascii="仿宋" w:hAnsi="仿宋" w:eastAsia="仿宋"/>
          <w:sz w:val="32"/>
          <w:szCs w:val="32"/>
        </w:rPr>
        <w:t>接受对考核结果的异议。待博士生奖助金名额下达并按组分配后，按各组排名确定参加考核学生的下一学年博士生奖助金等级。</w:t>
      </w:r>
    </w:p>
    <w:p>
      <w:pPr>
        <w:snapToGrid w:val="0"/>
        <w:spacing w:line="348" w:lineRule="auto"/>
        <w:ind w:firstLine="640" w:firstLineChars="200"/>
        <w:rPr>
          <w:rFonts w:ascii="仿宋" w:hAnsi="仿宋" w:eastAsia="仿宋"/>
          <w:sz w:val="32"/>
          <w:szCs w:val="32"/>
        </w:rPr>
      </w:pPr>
      <w:r>
        <w:rPr>
          <w:rFonts w:hint="eastAsia" w:ascii="仿宋" w:hAnsi="仿宋" w:eastAsia="仿宋"/>
          <w:sz w:val="32"/>
          <w:szCs w:val="32"/>
        </w:rPr>
        <w:t>第十八条 根据学校“德才兼备、领袖气质、家国情怀”人才培养目标，学院将思想政治工作和表现与评奖评优有机结合，鼓励学生从事思想政治工作，评分标准见附表备注。“思想政治工作和表现”为老生奖助金评定的加分项，不适用于新生，分值由学院学生工作部负责核准，如有未列明类别，由学生工作部思想政治工作和表现评定小组经讨论后报学院研究生教育与学位专门委员会确认。</w:t>
      </w:r>
    </w:p>
    <w:p>
      <w:pPr>
        <w:snapToGrid w:val="0"/>
        <w:spacing w:line="348" w:lineRule="auto"/>
        <w:ind w:firstLine="640" w:firstLineChars="200"/>
        <w:rPr>
          <w:rFonts w:ascii="仿宋" w:hAnsi="仿宋" w:eastAsia="仿宋"/>
          <w:sz w:val="32"/>
          <w:szCs w:val="32"/>
        </w:rPr>
      </w:pPr>
      <w:r>
        <w:rPr>
          <w:rFonts w:hint="eastAsia" w:ascii="仿宋" w:hAnsi="仿宋" w:eastAsia="仿宋"/>
          <w:sz w:val="32"/>
          <w:szCs w:val="32"/>
        </w:rPr>
        <w:t>第十九条  对于新生，所有参加考核的已发表成果应以学生毕业学校为第一署名单位，对于老生应以中山大学为第一署名单位。其中，已达到获得博士学位要求的成果可在多次年度考核中使用，其它已获得的成果只能在该学年的考核使用。新生的成果获得时间限定为上一学位攻读期间，老生的成果获得期间限定为上一次考核材料提交截止日期至本次考核材料提交截止日期。</w:t>
      </w:r>
    </w:p>
    <w:p>
      <w:pPr>
        <w:snapToGrid w:val="0"/>
        <w:spacing w:line="348" w:lineRule="auto"/>
        <w:ind w:firstLine="640" w:firstLineChars="200"/>
        <w:rPr>
          <w:rFonts w:ascii="仿宋" w:hAnsi="仿宋" w:eastAsia="仿宋"/>
          <w:sz w:val="32"/>
          <w:szCs w:val="32"/>
        </w:rPr>
      </w:pPr>
      <w:r>
        <w:rPr>
          <w:rFonts w:hint="eastAsia" w:ascii="仿宋" w:hAnsi="仿宋" w:eastAsia="仿宋"/>
          <w:sz w:val="32"/>
          <w:szCs w:val="32"/>
        </w:rPr>
        <w:t>第二十条  除优生优培生博士生外，符合奖助金参评资格但不参加集中考核的博士生和考核小组建议奖助金等级为三等的博士，下一年度博士生奖助金等级定为三等。</w:t>
      </w:r>
    </w:p>
    <w:p>
      <w:pPr>
        <w:snapToGrid w:val="0"/>
        <w:spacing w:line="348" w:lineRule="auto"/>
        <w:ind w:firstLine="640" w:firstLineChars="200"/>
        <w:rPr>
          <w:rFonts w:ascii="仿宋" w:hAnsi="仿宋" w:eastAsia="仿宋"/>
          <w:sz w:val="32"/>
          <w:szCs w:val="32"/>
        </w:rPr>
      </w:pPr>
      <w:r>
        <w:rPr>
          <w:rFonts w:hint="eastAsia" w:ascii="仿宋" w:hAnsi="仿宋" w:eastAsia="仿宋"/>
          <w:sz w:val="32"/>
          <w:szCs w:val="32"/>
        </w:rPr>
        <w:t xml:space="preserve">第二十一条  </w:t>
      </w:r>
      <w:r>
        <w:rPr>
          <w:rFonts w:ascii="仿宋" w:hAnsi="仿宋" w:eastAsia="仿宋"/>
          <w:sz w:val="32"/>
          <w:szCs w:val="32"/>
        </w:rPr>
        <w:t>院外导师自带招生名额在我院招生的，该</w:t>
      </w:r>
      <w:r>
        <w:rPr>
          <w:rFonts w:hint="eastAsia" w:ascii="仿宋" w:hAnsi="仿宋" w:eastAsia="仿宋"/>
          <w:sz w:val="32"/>
          <w:szCs w:val="32"/>
        </w:rPr>
        <w:t>新</w:t>
      </w:r>
      <w:r>
        <w:rPr>
          <w:rFonts w:ascii="仿宋" w:hAnsi="仿宋" w:eastAsia="仿宋"/>
          <w:sz w:val="32"/>
          <w:szCs w:val="32"/>
        </w:rPr>
        <w:t>生的奖助金等级也由该导师从所在单位带</w:t>
      </w:r>
      <w:r>
        <w:rPr>
          <w:rFonts w:hint="eastAsia" w:ascii="仿宋" w:hAnsi="仿宋" w:eastAsia="仿宋"/>
          <w:sz w:val="32"/>
          <w:szCs w:val="32"/>
        </w:rPr>
        <w:t>来。</w:t>
      </w:r>
    </w:p>
    <w:p>
      <w:pPr>
        <w:snapToGrid w:val="0"/>
        <w:spacing w:line="348" w:lineRule="auto"/>
        <w:ind w:firstLine="640" w:firstLineChars="200"/>
        <w:rPr>
          <w:rFonts w:ascii="仿宋" w:hAnsi="仿宋" w:eastAsia="仿宋"/>
          <w:sz w:val="32"/>
          <w:szCs w:val="32"/>
        </w:rPr>
      </w:pPr>
      <w:r>
        <w:rPr>
          <w:rFonts w:hint="eastAsia" w:ascii="仿宋" w:hAnsi="仿宋" w:eastAsia="仿宋"/>
          <w:sz w:val="32"/>
          <w:szCs w:val="32"/>
        </w:rPr>
        <w:t>第二十二条  在复试录取阶段，</w:t>
      </w:r>
      <w:r>
        <w:rPr>
          <w:rFonts w:ascii="仿宋" w:hAnsi="仿宋" w:eastAsia="仿宋"/>
          <w:sz w:val="32"/>
          <w:szCs w:val="32"/>
        </w:rPr>
        <w:t>学院获得追加计划排序录取的博士</w:t>
      </w:r>
      <w:r>
        <w:rPr>
          <w:rFonts w:hint="eastAsia" w:ascii="仿宋" w:hAnsi="仿宋" w:eastAsia="仿宋"/>
          <w:sz w:val="32"/>
          <w:szCs w:val="32"/>
        </w:rPr>
        <w:t>新</w:t>
      </w:r>
      <w:r>
        <w:rPr>
          <w:rFonts w:ascii="仿宋" w:hAnsi="仿宋" w:eastAsia="仿宋"/>
          <w:sz w:val="32"/>
          <w:szCs w:val="32"/>
        </w:rPr>
        <w:t>生</w:t>
      </w:r>
      <w:r>
        <w:rPr>
          <w:rFonts w:hint="eastAsia" w:ascii="仿宋" w:hAnsi="仿宋" w:eastAsia="仿宋"/>
          <w:sz w:val="32"/>
          <w:szCs w:val="32"/>
        </w:rPr>
        <w:t>和国家专项计划招收的博士生</w:t>
      </w:r>
      <w:r>
        <w:rPr>
          <w:rFonts w:ascii="仿宋" w:hAnsi="仿宋" w:eastAsia="仿宋"/>
          <w:sz w:val="32"/>
          <w:szCs w:val="32"/>
        </w:rPr>
        <w:t>，符合评审资格的，享受三等奖助金。</w:t>
      </w:r>
    </w:p>
    <w:p>
      <w:pPr>
        <w:snapToGrid w:val="0"/>
        <w:spacing w:line="348" w:lineRule="auto"/>
        <w:ind w:firstLine="640" w:firstLineChars="200"/>
        <w:rPr>
          <w:rFonts w:ascii="仿宋" w:hAnsi="仿宋" w:eastAsia="仿宋"/>
          <w:sz w:val="32"/>
          <w:szCs w:val="32"/>
        </w:rPr>
      </w:pPr>
      <w:r>
        <w:rPr>
          <w:rFonts w:hint="eastAsia" w:ascii="仿宋" w:hAnsi="仿宋" w:eastAsia="仿宋"/>
          <w:sz w:val="32"/>
          <w:szCs w:val="32"/>
        </w:rPr>
        <w:t>第二十三条  其他未尽事宜，由生命科学学院研究生教育与学位专门委员会讨论决定。</w:t>
      </w:r>
    </w:p>
    <w:p>
      <w:pPr>
        <w:snapToGrid w:val="0"/>
        <w:spacing w:line="348" w:lineRule="auto"/>
        <w:ind w:firstLine="640" w:firstLineChars="200"/>
        <w:rPr>
          <w:rFonts w:ascii="仿宋" w:hAnsi="仿宋" w:eastAsia="仿宋"/>
          <w:sz w:val="32"/>
          <w:szCs w:val="32"/>
        </w:rPr>
      </w:pPr>
      <w:r>
        <w:rPr>
          <w:rFonts w:hint="eastAsia" w:ascii="仿宋" w:hAnsi="仿宋" w:eastAsia="仿宋"/>
          <w:sz w:val="32"/>
          <w:szCs w:val="32"/>
        </w:rPr>
        <w:t>第二十四条 本实施细则由生命科学学院研究生教育与学位专门委员会负责解释。</w:t>
      </w:r>
    </w:p>
    <w:p>
      <w:pPr>
        <w:snapToGrid w:val="0"/>
        <w:spacing w:after="156" w:afterLines="50" w:line="360" w:lineRule="auto"/>
        <w:ind w:right="480"/>
        <w:jc w:val="right"/>
        <w:rPr>
          <w:rFonts w:asciiTheme="minorEastAsia" w:hAnsiTheme="minorEastAsia" w:eastAsiaTheme="minorEastAsia"/>
          <w:sz w:val="24"/>
        </w:rPr>
        <w:sectPr>
          <w:headerReference r:id="rId5" w:type="first"/>
          <w:footerReference r:id="rId8" w:type="first"/>
          <w:headerReference r:id="rId3" w:type="default"/>
          <w:footerReference r:id="rId6" w:type="default"/>
          <w:headerReference r:id="rId4" w:type="even"/>
          <w:footerReference r:id="rId7" w:type="even"/>
          <w:pgSz w:w="11906" w:h="16838"/>
          <w:pgMar w:top="1440" w:right="1701" w:bottom="1440" w:left="1701" w:header="0" w:footer="0" w:gutter="0"/>
          <w:cols w:space="425" w:num="1"/>
          <w:docGrid w:type="lines" w:linePitch="312" w:charSpace="0"/>
        </w:sectPr>
      </w:pPr>
    </w:p>
    <w:p>
      <w:pPr>
        <w:snapToGrid w:val="0"/>
        <w:spacing w:after="156" w:afterLines="50" w:line="360" w:lineRule="auto"/>
        <w:ind w:right="480"/>
        <w:rPr>
          <w:rFonts w:asciiTheme="minorEastAsia" w:hAnsiTheme="minorEastAsia" w:eastAsiaTheme="minorEastAsia"/>
          <w:sz w:val="24"/>
        </w:rPr>
      </w:pPr>
      <w:r>
        <w:rPr>
          <w:rFonts w:hint="eastAsia" w:asciiTheme="minorEastAsia" w:hAnsiTheme="minorEastAsia" w:eastAsiaTheme="minorEastAsia"/>
          <w:sz w:val="24"/>
        </w:rPr>
        <w:t>附表1：</w:t>
      </w:r>
    </w:p>
    <w:p>
      <w:pPr>
        <w:snapToGrid w:val="0"/>
        <w:spacing w:line="360" w:lineRule="auto"/>
        <w:ind w:right="482"/>
        <w:jc w:val="center"/>
        <w:rPr>
          <w:rFonts w:asciiTheme="minorEastAsia" w:hAnsiTheme="minorEastAsia" w:eastAsiaTheme="minorEastAsia"/>
          <w:sz w:val="24"/>
        </w:rPr>
      </w:pPr>
      <w:r>
        <w:rPr>
          <w:rFonts w:hint="eastAsia" w:asciiTheme="minorEastAsia" w:hAnsiTheme="minorEastAsia" w:eastAsiaTheme="minorEastAsia"/>
          <w:b/>
          <w:sz w:val="44"/>
          <w:szCs w:val="44"/>
        </w:rPr>
        <w:t>奖助金评分表</w:t>
      </w:r>
      <w:r>
        <w:rPr>
          <w:rFonts w:hint="eastAsia" w:asciiTheme="minorEastAsia" w:hAnsiTheme="minorEastAsia" w:eastAsiaTheme="minorEastAsia"/>
          <w:sz w:val="24"/>
        </w:rPr>
        <w:t xml:space="preserve"> </w:t>
      </w:r>
    </w:p>
    <w:p>
      <w:pPr>
        <w:wordWrap w:val="0"/>
        <w:snapToGrid w:val="0"/>
        <w:spacing w:line="360" w:lineRule="auto"/>
        <w:ind w:right="482"/>
        <w:jc w:val="right"/>
        <w:rPr>
          <w:rFonts w:asciiTheme="minorEastAsia" w:hAnsiTheme="minorEastAsia" w:eastAsiaTheme="minorEastAsia"/>
          <w:sz w:val="24"/>
        </w:rPr>
      </w:pPr>
      <w:r>
        <w:rPr>
          <w:rFonts w:hint="eastAsia" w:asciiTheme="minorEastAsia" w:hAnsiTheme="minorEastAsia" w:eastAsiaTheme="minorEastAsia"/>
          <w:sz w:val="24"/>
        </w:rPr>
        <w:t xml:space="preserve"> </w:t>
      </w:r>
      <w:r>
        <w:rPr>
          <w:rFonts w:asciiTheme="minorEastAsia" w:hAnsiTheme="minorEastAsia" w:eastAsiaTheme="minorEastAsia"/>
          <w:sz w:val="24"/>
        </w:rPr>
        <w:t xml:space="preserve">                         </w:t>
      </w:r>
      <w:r>
        <w:rPr>
          <w:rFonts w:hint="eastAsia" w:asciiTheme="minorEastAsia" w:hAnsiTheme="minorEastAsia" w:eastAsiaTheme="minorEastAsia"/>
          <w:sz w:val="24"/>
        </w:rPr>
        <w:t xml:space="preserve">评审专家签名： </w:t>
      </w:r>
      <w:r>
        <w:rPr>
          <w:rFonts w:asciiTheme="minorEastAsia" w:hAnsiTheme="minorEastAsia" w:eastAsiaTheme="minorEastAsia"/>
          <w:sz w:val="24"/>
        </w:rPr>
        <w:t xml:space="preserve">            </w:t>
      </w:r>
    </w:p>
    <w:tbl>
      <w:tblPr>
        <w:tblStyle w:val="5"/>
        <w:tblW w:w="141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709"/>
        <w:gridCol w:w="992"/>
        <w:gridCol w:w="1807"/>
        <w:gridCol w:w="1054"/>
        <w:gridCol w:w="1069"/>
        <w:gridCol w:w="2268"/>
        <w:gridCol w:w="2483"/>
        <w:gridCol w:w="993"/>
        <w:gridCol w:w="1134"/>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7" w:hRule="atLeast"/>
          <w:jc w:val="center"/>
        </w:trPr>
        <w:tc>
          <w:tcPr>
            <w:tcW w:w="654" w:type="dxa"/>
            <w:shd w:val="clear" w:color="auto" w:fill="auto"/>
            <w:noWrap/>
            <w:vAlign w:val="center"/>
          </w:tcPr>
          <w:p>
            <w:pPr>
              <w:widowControl/>
              <w:snapToGrid w:val="0"/>
              <w:jc w:val="center"/>
              <w:rPr>
                <w:rFonts w:ascii="宋体" w:hAnsi="宋体"/>
                <w:kern w:val="0"/>
                <w:sz w:val="18"/>
                <w:szCs w:val="18"/>
              </w:rPr>
            </w:pPr>
            <w:r>
              <w:rPr>
                <w:rFonts w:hint="eastAsia" w:ascii="宋体" w:hAnsi="宋体"/>
                <w:kern w:val="0"/>
                <w:sz w:val="18"/>
                <w:szCs w:val="18"/>
              </w:rPr>
              <w:t>序号</w:t>
            </w:r>
          </w:p>
        </w:tc>
        <w:tc>
          <w:tcPr>
            <w:tcW w:w="709" w:type="dxa"/>
            <w:vAlign w:val="center"/>
          </w:tcPr>
          <w:p>
            <w:pPr>
              <w:widowControl/>
              <w:snapToGrid w:val="0"/>
              <w:jc w:val="center"/>
              <w:rPr>
                <w:rFonts w:ascii="宋体" w:hAnsi="宋体"/>
                <w:kern w:val="0"/>
                <w:sz w:val="18"/>
                <w:szCs w:val="18"/>
              </w:rPr>
            </w:pPr>
            <w:r>
              <w:rPr>
                <w:rFonts w:hint="eastAsia" w:ascii="宋体" w:hAnsi="宋体"/>
                <w:kern w:val="0"/>
                <w:sz w:val="18"/>
                <w:szCs w:val="18"/>
              </w:rPr>
              <w:t>讲演次序</w:t>
            </w:r>
          </w:p>
        </w:tc>
        <w:tc>
          <w:tcPr>
            <w:tcW w:w="992" w:type="dxa"/>
            <w:vAlign w:val="center"/>
          </w:tcPr>
          <w:p>
            <w:pPr>
              <w:widowControl/>
              <w:snapToGrid w:val="0"/>
              <w:jc w:val="center"/>
              <w:rPr>
                <w:rFonts w:ascii="宋体" w:hAnsi="宋体"/>
                <w:kern w:val="0"/>
                <w:sz w:val="18"/>
                <w:szCs w:val="18"/>
              </w:rPr>
            </w:pPr>
            <w:r>
              <w:rPr>
                <w:rFonts w:hint="eastAsia" w:ascii="宋体" w:hAnsi="宋体"/>
                <w:kern w:val="0"/>
                <w:sz w:val="18"/>
                <w:szCs w:val="18"/>
              </w:rPr>
              <w:t>姓名</w:t>
            </w:r>
          </w:p>
        </w:tc>
        <w:tc>
          <w:tcPr>
            <w:tcW w:w="1807" w:type="dxa"/>
            <w:vAlign w:val="center"/>
          </w:tcPr>
          <w:p>
            <w:pPr>
              <w:widowControl/>
              <w:snapToGrid w:val="0"/>
              <w:jc w:val="center"/>
              <w:rPr>
                <w:rFonts w:ascii="宋体" w:hAnsi="宋体"/>
                <w:kern w:val="0"/>
                <w:sz w:val="18"/>
                <w:szCs w:val="18"/>
              </w:rPr>
            </w:pPr>
            <w:r>
              <w:rPr>
                <w:rFonts w:hint="eastAsia" w:ascii="宋体" w:hAnsi="宋体"/>
                <w:kern w:val="0"/>
                <w:sz w:val="18"/>
                <w:szCs w:val="18"/>
              </w:rPr>
              <w:t>专业</w:t>
            </w:r>
          </w:p>
        </w:tc>
        <w:tc>
          <w:tcPr>
            <w:tcW w:w="1054" w:type="dxa"/>
            <w:vAlign w:val="center"/>
          </w:tcPr>
          <w:p>
            <w:pPr>
              <w:widowControl/>
              <w:snapToGrid w:val="0"/>
              <w:jc w:val="center"/>
              <w:rPr>
                <w:rFonts w:ascii="宋体" w:hAnsi="宋体"/>
                <w:kern w:val="0"/>
                <w:sz w:val="18"/>
                <w:szCs w:val="18"/>
              </w:rPr>
            </w:pPr>
            <w:r>
              <w:rPr>
                <w:rFonts w:hint="eastAsia" w:ascii="宋体" w:hAnsi="宋体"/>
                <w:kern w:val="0"/>
                <w:sz w:val="18"/>
                <w:szCs w:val="18"/>
              </w:rPr>
              <w:t>政治面貌</w:t>
            </w:r>
          </w:p>
        </w:tc>
        <w:tc>
          <w:tcPr>
            <w:tcW w:w="1069" w:type="dxa"/>
            <w:vAlign w:val="center"/>
          </w:tcPr>
          <w:p>
            <w:pPr>
              <w:widowControl/>
              <w:snapToGrid w:val="0"/>
              <w:jc w:val="center"/>
              <w:rPr>
                <w:rFonts w:ascii="宋体" w:hAnsi="宋体"/>
                <w:kern w:val="0"/>
                <w:sz w:val="18"/>
                <w:szCs w:val="18"/>
              </w:rPr>
            </w:pPr>
            <w:r>
              <w:rPr>
                <w:rFonts w:hint="eastAsia" w:ascii="宋体" w:hAnsi="宋体"/>
                <w:kern w:val="0"/>
                <w:sz w:val="18"/>
                <w:szCs w:val="18"/>
              </w:rPr>
              <w:t>现奖助金等级</w:t>
            </w:r>
          </w:p>
        </w:tc>
        <w:tc>
          <w:tcPr>
            <w:tcW w:w="2268" w:type="dxa"/>
            <w:shd w:val="clear" w:color="auto" w:fill="auto"/>
            <w:vAlign w:val="center"/>
          </w:tcPr>
          <w:p>
            <w:pPr>
              <w:widowControl/>
              <w:snapToGrid w:val="0"/>
              <w:jc w:val="center"/>
              <w:rPr>
                <w:rFonts w:ascii="宋体" w:hAnsi="宋体"/>
                <w:kern w:val="0"/>
                <w:sz w:val="18"/>
                <w:szCs w:val="18"/>
              </w:rPr>
            </w:pPr>
            <w:r>
              <w:rPr>
                <w:rFonts w:hint="eastAsia" w:ascii="宋体" w:hAnsi="宋体"/>
                <w:kern w:val="0"/>
                <w:sz w:val="18"/>
                <w:szCs w:val="18"/>
              </w:rPr>
              <w:t>已发表的成果</w:t>
            </w:r>
          </w:p>
          <w:p>
            <w:pPr>
              <w:widowControl/>
              <w:snapToGrid w:val="0"/>
              <w:jc w:val="center"/>
              <w:rPr>
                <w:rFonts w:ascii="宋体" w:hAnsi="宋体"/>
                <w:kern w:val="0"/>
                <w:sz w:val="18"/>
                <w:szCs w:val="18"/>
              </w:rPr>
            </w:pPr>
            <w:r>
              <w:rPr>
                <w:rFonts w:hint="eastAsia" w:ascii="宋体" w:hAnsi="宋体"/>
                <w:kern w:val="0"/>
                <w:sz w:val="18"/>
                <w:szCs w:val="18"/>
              </w:rPr>
              <w:t>（论文、专利、获奖情况）</w:t>
            </w:r>
            <w:r>
              <w:rPr>
                <w:rFonts w:hint="eastAsia" w:ascii="宋体" w:hAnsi="宋体"/>
                <w:kern w:val="0"/>
                <w:sz w:val="18"/>
                <w:szCs w:val="18"/>
              </w:rPr>
              <w:br w:type="textWrapping"/>
            </w:r>
            <w:r>
              <w:rPr>
                <w:rFonts w:hint="eastAsia" w:ascii="宋体" w:hAnsi="宋体"/>
                <w:kern w:val="0"/>
                <w:sz w:val="18"/>
                <w:szCs w:val="18"/>
              </w:rPr>
              <w:t>(总4分)</w:t>
            </w:r>
          </w:p>
        </w:tc>
        <w:tc>
          <w:tcPr>
            <w:tcW w:w="2483" w:type="dxa"/>
            <w:shd w:val="clear" w:color="auto" w:fill="auto"/>
            <w:vAlign w:val="center"/>
          </w:tcPr>
          <w:p>
            <w:pPr>
              <w:widowControl/>
              <w:snapToGrid w:val="0"/>
              <w:jc w:val="center"/>
              <w:rPr>
                <w:rFonts w:ascii="宋体" w:hAnsi="宋体"/>
                <w:kern w:val="0"/>
                <w:sz w:val="18"/>
                <w:szCs w:val="18"/>
              </w:rPr>
            </w:pPr>
            <w:r>
              <w:rPr>
                <w:rFonts w:hint="eastAsia" w:ascii="宋体" w:hAnsi="宋体"/>
                <w:kern w:val="0"/>
                <w:sz w:val="18"/>
                <w:szCs w:val="18"/>
              </w:rPr>
              <w:t>未发表的成果（已投稿、已修回、已有研究结果但未投稿）、即将开展的工作计划</w:t>
            </w:r>
          </w:p>
          <w:p>
            <w:pPr>
              <w:widowControl/>
              <w:snapToGrid w:val="0"/>
              <w:jc w:val="center"/>
              <w:rPr>
                <w:rFonts w:ascii="宋体" w:hAnsi="宋体"/>
                <w:b/>
                <w:kern w:val="0"/>
                <w:sz w:val="18"/>
                <w:szCs w:val="18"/>
              </w:rPr>
            </w:pPr>
            <w:r>
              <w:rPr>
                <w:rFonts w:hint="eastAsia" w:ascii="宋体" w:hAnsi="宋体"/>
                <w:kern w:val="0"/>
                <w:sz w:val="18"/>
                <w:szCs w:val="18"/>
              </w:rPr>
              <w:t>(总4分)</w:t>
            </w:r>
          </w:p>
        </w:tc>
        <w:tc>
          <w:tcPr>
            <w:tcW w:w="993" w:type="dxa"/>
            <w:shd w:val="clear" w:color="auto" w:fill="auto"/>
            <w:vAlign w:val="center"/>
          </w:tcPr>
          <w:p>
            <w:pPr>
              <w:widowControl/>
              <w:snapToGrid w:val="0"/>
              <w:jc w:val="center"/>
              <w:rPr>
                <w:rFonts w:ascii="宋体" w:hAnsi="宋体"/>
                <w:kern w:val="0"/>
                <w:sz w:val="18"/>
                <w:szCs w:val="18"/>
              </w:rPr>
            </w:pPr>
            <w:r>
              <w:rPr>
                <w:rFonts w:hint="eastAsia" w:ascii="宋体" w:hAnsi="宋体"/>
                <w:kern w:val="0"/>
                <w:sz w:val="18"/>
                <w:szCs w:val="18"/>
              </w:rPr>
              <w:t>讲演表现</w:t>
            </w:r>
            <w:r>
              <w:rPr>
                <w:rFonts w:hint="eastAsia" w:ascii="宋体" w:hAnsi="宋体"/>
                <w:kern w:val="0"/>
                <w:sz w:val="18"/>
                <w:szCs w:val="18"/>
              </w:rPr>
              <w:br w:type="textWrapping"/>
            </w:r>
            <w:r>
              <w:rPr>
                <w:rFonts w:hint="eastAsia" w:ascii="宋体" w:hAnsi="宋体"/>
                <w:kern w:val="0"/>
                <w:sz w:val="18"/>
                <w:szCs w:val="18"/>
              </w:rPr>
              <w:t>(总2分)</w:t>
            </w:r>
          </w:p>
        </w:tc>
        <w:tc>
          <w:tcPr>
            <w:tcW w:w="1134" w:type="dxa"/>
            <w:vAlign w:val="center"/>
          </w:tcPr>
          <w:p>
            <w:pPr>
              <w:widowControl/>
              <w:snapToGrid w:val="0"/>
              <w:jc w:val="center"/>
              <w:rPr>
                <w:rFonts w:ascii="宋体" w:hAnsi="宋体"/>
                <w:kern w:val="0"/>
                <w:sz w:val="18"/>
                <w:szCs w:val="18"/>
              </w:rPr>
            </w:pPr>
            <w:r>
              <w:rPr>
                <w:rFonts w:hint="eastAsia" w:ascii="宋体" w:hAnsi="宋体"/>
                <w:kern w:val="0"/>
                <w:sz w:val="18"/>
                <w:szCs w:val="18"/>
              </w:rPr>
              <w:t>思想政治工作和表现（总</w:t>
            </w:r>
            <w:r>
              <w:rPr>
                <w:rFonts w:ascii="宋体" w:hAnsi="宋体"/>
                <w:kern w:val="0"/>
                <w:sz w:val="18"/>
                <w:szCs w:val="18"/>
              </w:rPr>
              <w:t>2</w:t>
            </w:r>
            <w:r>
              <w:rPr>
                <w:rFonts w:hint="eastAsia" w:ascii="宋体" w:hAnsi="宋体"/>
                <w:kern w:val="0"/>
                <w:sz w:val="18"/>
                <w:szCs w:val="18"/>
              </w:rPr>
              <w:t>分）</w:t>
            </w:r>
          </w:p>
        </w:tc>
        <w:tc>
          <w:tcPr>
            <w:tcW w:w="992" w:type="dxa"/>
            <w:shd w:val="clear" w:color="auto" w:fill="auto"/>
            <w:noWrap/>
            <w:vAlign w:val="center"/>
          </w:tcPr>
          <w:p>
            <w:pPr>
              <w:widowControl/>
              <w:snapToGrid w:val="0"/>
              <w:jc w:val="center"/>
              <w:rPr>
                <w:rFonts w:ascii="宋体" w:hAnsi="宋体"/>
                <w:kern w:val="0"/>
                <w:sz w:val="18"/>
                <w:szCs w:val="18"/>
              </w:rPr>
            </w:pPr>
            <w:r>
              <w:rPr>
                <w:rFonts w:hint="eastAsia" w:ascii="宋体" w:hAnsi="宋体"/>
                <w:kern w:val="0"/>
                <w:sz w:val="18"/>
                <w:szCs w:val="18"/>
              </w:rPr>
              <w:t>总分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jc w:val="center"/>
        </w:trPr>
        <w:tc>
          <w:tcPr>
            <w:tcW w:w="654" w:type="dxa"/>
            <w:shd w:val="clear" w:color="auto" w:fill="auto"/>
            <w:noWrap/>
            <w:vAlign w:val="center"/>
          </w:tcPr>
          <w:p>
            <w:pPr>
              <w:widowControl/>
              <w:jc w:val="center"/>
              <w:rPr>
                <w:rFonts w:ascii="宋体" w:hAnsi="宋体"/>
                <w:kern w:val="0"/>
                <w:sz w:val="18"/>
                <w:szCs w:val="18"/>
              </w:rPr>
            </w:pPr>
          </w:p>
        </w:tc>
        <w:tc>
          <w:tcPr>
            <w:tcW w:w="709" w:type="dxa"/>
            <w:vAlign w:val="center"/>
          </w:tcPr>
          <w:p>
            <w:pPr>
              <w:widowControl/>
              <w:jc w:val="center"/>
              <w:rPr>
                <w:rFonts w:ascii="宋体" w:hAnsi="宋体"/>
                <w:kern w:val="0"/>
                <w:sz w:val="18"/>
                <w:szCs w:val="18"/>
              </w:rPr>
            </w:pPr>
          </w:p>
        </w:tc>
        <w:tc>
          <w:tcPr>
            <w:tcW w:w="992" w:type="dxa"/>
            <w:vAlign w:val="center"/>
          </w:tcPr>
          <w:p>
            <w:pPr>
              <w:widowControl/>
              <w:jc w:val="center"/>
              <w:rPr>
                <w:rFonts w:ascii="宋体" w:hAnsi="宋体"/>
                <w:kern w:val="0"/>
                <w:sz w:val="18"/>
                <w:szCs w:val="18"/>
              </w:rPr>
            </w:pPr>
          </w:p>
        </w:tc>
        <w:tc>
          <w:tcPr>
            <w:tcW w:w="1807" w:type="dxa"/>
            <w:vAlign w:val="center"/>
          </w:tcPr>
          <w:p>
            <w:pPr>
              <w:widowControl/>
              <w:jc w:val="center"/>
              <w:rPr>
                <w:rFonts w:ascii="宋体" w:hAnsi="宋体"/>
                <w:kern w:val="0"/>
                <w:sz w:val="18"/>
                <w:szCs w:val="18"/>
              </w:rPr>
            </w:pPr>
          </w:p>
        </w:tc>
        <w:tc>
          <w:tcPr>
            <w:tcW w:w="1054" w:type="dxa"/>
            <w:vAlign w:val="center"/>
          </w:tcPr>
          <w:p>
            <w:pPr>
              <w:widowControl/>
              <w:jc w:val="center"/>
              <w:rPr>
                <w:rFonts w:ascii="宋体" w:hAnsi="宋体"/>
                <w:kern w:val="0"/>
                <w:sz w:val="18"/>
                <w:szCs w:val="18"/>
              </w:rPr>
            </w:pPr>
          </w:p>
        </w:tc>
        <w:tc>
          <w:tcPr>
            <w:tcW w:w="1069" w:type="dxa"/>
            <w:vAlign w:val="center"/>
          </w:tcPr>
          <w:p>
            <w:pPr>
              <w:widowControl/>
              <w:jc w:val="center"/>
              <w:rPr>
                <w:rFonts w:ascii="宋体" w:hAnsi="宋体"/>
                <w:kern w:val="0"/>
                <w:sz w:val="18"/>
                <w:szCs w:val="18"/>
              </w:rPr>
            </w:pPr>
          </w:p>
        </w:tc>
        <w:tc>
          <w:tcPr>
            <w:tcW w:w="2268" w:type="dxa"/>
            <w:shd w:val="clear" w:color="auto" w:fill="auto"/>
            <w:noWrap/>
            <w:vAlign w:val="center"/>
          </w:tcPr>
          <w:p>
            <w:pPr>
              <w:widowControl/>
              <w:jc w:val="center"/>
              <w:rPr>
                <w:rFonts w:ascii="宋体" w:hAnsi="宋体"/>
                <w:kern w:val="0"/>
                <w:sz w:val="18"/>
                <w:szCs w:val="18"/>
              </w:rPr>
            </w:pPr>
          </w:p>
        </w:tc>
        <w:tc>
          <w:tcPr>
            <w:tcW w:w="2483" w:type="dxa"/>
            <w:shd w:val="clear" w:color="auto" w:fill="auto"/>
            <w:noWrap/>
            <w:vAlign w:val="center"/>
          </w:tcPr>
          <w:p>
            <w:pPr>
              <w:widowControl/>
              <w:jc w:val="center"/>
              <w:rPr>
                <w:rFonts w:ascii="宋体" w:hAnsi="宋体"/>
                <w:kern w:val="0"/>
                <w:sz w:val="18"/>
                <w:szCs w:val="18"/>
              </w:rPr>
            </w:pPr>
          </w:p>
        </w:tc>
        <w:tc>
          <w:tcPr>
            <w:tcW w:w="993" w:type="dxa"/>
            <w:shd w:val="clear" w:color="auto" w:fill="auto"/>
            <w:noWrap/>
            <w:vAlign w:val="center"/>
          </w:tcPr>
          <w:p>
            <w:pPr>
              <w:widowControl/>
              <w:jc w:val="center"/>
              <w:rPr>
                <w:rFonts w:ascii="宋体" w:hAnsi="宋体"/>
                <w:kern w:val="0"/>
                <w:sz w:val="18"/>
                <w:szCs w:val="18"/>
              </w:rPr>
            </w:pPr>
          </w:p>
        </w:tc>
        <w:tc>
          <w:tcPr>
            <w:tcW w:w="1134" w:type="dxa"/>
            <w:vAlign w:val="center"/>
          </w:tcPr>
          <w:p>
            <w:pPr>
              <w:widowControl/>
              <w:jc w:val="center"/>
              <w:rPr>
                <w:rFonts w:ascii="宋体" w:hAnsi="宋体"/>
                <w:kern w:val="0"/>
                <w:sz w:val="18"/>
                <w:szCs w:val="18"/>
              </w:rPr>
            </w:pPr>
          </w:p>
        </w:tc>
        <w:tc>
          <w:tcPr>
            <w:tcW w:w="992" w:type="dxa"/>
            <w:shd w:val="clear" w:color="auto" w:fill="auto"/>
            <w:noWrap/>
            <w:vAlign w:val="center"/>
          </w:tcPr>
          <w:p>
            <w:pPr>
              <w:widowControl/>
              <w:jc w:val="center"/>
              <w:rPr>
                <w:rFonts w:ascii="宋体" w:hAns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jc w:val="center"/>
        </w:trPr>
        <w:tc>
          <w:tcPr>
            <w:tcW w:w="654" w:type="dxa"/>
            <w:shd w:val="clear" w:color="auto" w:fill="auto"/>
            <w:noWrap/>
            <w:vAlign w:val="center"/>
          </w:tcPr>
          <w:p>
            <w:pPr>
              <w:widowControl/>
              <w:jc w:val="center"/>
              <w:rPr>
                <w:rFonts w:ascii="宋体" w:hAnsi="宋体"/>
                <w:kern w:val="0"/>
                <w:sz w:val="18"/>
                <w:szCs w:val="18"/>
              </w:rPr>
            </w:pPr>
          </w:p>
        </w:tc>
        <w:tc>
          <w:tcPr>
            <w:tcW w:w="709" w:type="dxa"/>
            <w:vAlign w:val="center"/>
          </w:tcPr>
          <w:p>
            <w:pPr>
              <w:widowControl/>
              <w:jc w:val="center"/>
              <w:rPr>
                <w:rFonts w:ascii="宋体" w:hAnsi="宋体"/>
                <w:kern w:val="0"/>
                <w:sz w:val="18"/>
                <w:szCs w:val="18"/>
              </w:rPr>
            </w:pPr>
          </w:p>
        </w:tc>
        <w:tc>
          <w:tcPr>
            <w:tcW w:w="992" w:type="dxa"/>
            <w:vAlign w:val="center"/>
          </w:tcPr>
          <w:p>
            <w:pPr>
              <w:widowControl/>
              <w:jc w:val="center"/>
              <w:rPr>
                <w:rFonts w:ascii="宋体" w:hAnsi="宋体"/>
                <w:kern w:val="0"/>
                <w:sz w:val="18"/>
                <w:szCs w:val="18"/>
              </w:rPr>
            </w:pPr>
          </w:p>
        </w:tc>
        <w:tc>
          <w:tcPr>
            <w:tcW w:w="1807" w:type="dxa"/>
            <w:vAlign w:val="center"/>
          </w:tcPr>
          <w:p>
            <w:pPr>
              <w:widowControl/>
              <w:jc w:val="center"/>
              <w:rPr>
                <w:rFonts w:ascii="宋体" w:hAnsi="宋体"/>
                <w:kern w:val="0"/>
                <w:sz w:val="18"/>
                <w:szCs w:val="18"/>
              </w:rPr>
            </w:pPr>
          </w:p>
        </w:tc>
        <w:tc>
          <w:tcPr>
            <w:tcW w:w="1054" w:type="dxa"/>
            <w:vAlign w:val="center"/>
          </w:tcPr>
          <w:p>
            <w:pPr>
              <w:widowControl/>
              <w:jc w:val="center"/>
              <w:rPr>
                <w:rFonts w:ascii="宋体" w:hAnsi="宋体"/>
                <w:kern w:val="0"/>
                <w:sz w:val="18"/>
                <w:szCs w:val="18"/>
              </w:rPr>
            </w:pPr>
          </w:p>
        </w:tc>
        <w:tc>
          <w:tcPr>
            <w:tcW w:w="1069" w:type="dxa"/>
            <w:vAlign w:val="center"/>
          </w:tcPr>
          <w:p>
            <w:pPr>
              <w:widowControl/>
              <w:jc w:val="center"/>
              <w:rPr>
                <w:rFonts w:ascii="宋体" w:hAnsi="宋体"/>
                <w:kern w:val="0"/>
                <w:sz w:val="18"/>
                <w:szCs w:val="18"/>
              </w:rPr>
            </w:pPr>
          </w:p>
        </w:tc>
        <w:tc>
          <w:tcPr>
            <w:tcW w:w="2268" w:type="dxa"/>
            <w:shd w:val="clear" w:color="auto" w:fill="auto"/>
            <w:noWrap/>
            <w:vAlign w:val="center"/>
          </w:tcPr>
          <w:p>
            <w:pPr>
              <w:widowControl/>
              <w:jc w:val="center"/>
              <w:rPr>
                <w:rFonts w:ascii="宋体" w:hAnsi="宋体"/>
                <w:kern w:val="0"/>
                <w:sz w:val="18"/>
                <w:szCs w:val="18"/>
              </w:rPr>
            </w:pPr>
          </w:p>
        </w:tc>
        <w:tc>
          <w:tcPr>
            <w:tcW w:w="2483" w:type="dxa"/>
            <w:shd w:val="clear" w:color="auto" w:fill="auto"/>
            <w:noWrap/>
            <w:vAlign w:val="center"/>
          </w:tcPr>
          <w:p>
            <w:pPr>
              <w:widowControl/>
              <w:jc w:val="center"/>
              <w:rPr>
                <w:rFonts w:ascii="宋体" w:hAnsi="宋体"/>
                <w:kern w:val="0"/>
                <w:sz w:val="18"/>
                <w:szCs w:val="18"/>
              </w:rPr>
            </w:pPr>
          </w:p>
        </w:tc>
        <w:tc>
          <w:tcPr>
            <w:tcW w:w="993" w:type="dxa"/>
            <w:shd w:val="clear" w:color="auto" w:fill="auto"/>
            <w:noWrap/>
            <w:vAlign w:val="center"/>
          </w:tcPr>
          <w:p>
            <w:pPr>
              <w:widowControl/>
              <w:jc w:val="center"/>
              <w:rPr>
                <w:rFonts w:ascii="宋体" w:hAnsi="宋体"/>
                <w:kern w:val="0"/>
                <w:sz w:val="18"/>
                <w:szCs w:val="18"/>
              </w:rPr>
            </w:pPr>
          </w:p>
        </w:tc>
        <w:tc>
          <w:tcPr>
            <w:tcW w:w="1134" w:type="dxa"/>
            <w:vAlign w:val="center"/>
          </w:tcPr>
          <w:p>
            <w:pPr>
              <w:widowControl/>
              <w:jc w:val="center"/>
              <w:rPr>
                <w:rFonts w:ascii="宋体" w:hAnsi="宋体"/>
                <w:kern w:val="0"/>
                <w:sz w:val="18"/>
                <w:szCs w:val="18"/>
              </w:rPr>
            </w:pPr>
          </w:p>
        </w:tc>
        <w:tc>
          <w:tcPr>
            <w:tcW w:w="992" w:type="dxa"/>
            <w:shd w:val="clear" w:color="auto" w:fill="auto"/>
            <w:noWrap/>
            <w:vAlign w:val="center"/>
          </w:tcPr>
          <w:p>
            <w:pPr>
              <w:widowControl/>
              <w:jc w:val="center"/>
              <w:rPr>
                <w:rFonts w:ascii="宋体" w:hAns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jc w:val="center"/>
        </w:trPr>
        <w:tc>
          <w:tcPr>
            <w:tcW w:w="654" w:type="dxa"/>
            <w:shd w:val="clear" w:color="auto" w:fill="auto"/>
            <w:noWrap/>
            <w:vAlign w:val="center"/>
          </w:tcPr>
          <w:p>
            <w:pPr>
              <w:widowControl/>
              <w:jc w:val="center"/>
              <w:rPr>
                <w:rFonts w:ascii="宋体" w:hAnsi="宋体"/>
                <w:kern w:val="0"/>
                <w:sz w:val="18"/>
                <w:szCs w:val="18"/>
              </w:rPr>
            </w:pPr>
          </w:p>
        </w:tc>
        <w:tc>
          <w:tcPr>
            <w:tcW w:w="709" w:type="dxa"/>
            <w:vAlign w:val="center"/>
          </w:tcPr>
          <w:p>
            <w:pPr>
              <w:widowControl/>
              <w:jc w:val="center"/>
              <w:rPr>
                <w:rFonts w:ascii="宋体" w:hAnsi="宋体"/>
                <w:kern w:val="0"/>
                <w:sz w:val="18"/>
                <w:szCs w:val="18"/>
              </w:rPr>
            </w:pPr>
          </w:p>
        </w:tc>
        <w:tc>
          <w:tcPr>
            <w:tcW w:w="992" w:type="dxa"/>
            <w:vAlign w:val="center"/>
          </w:tcPr>
          <w:p>
            <w:pPr>
              <w:widowControl/>
              <w:jc w:val="center"/>
              <w:rPr>
                <w:rFonts w:ascii="宋体" w:hAnsi="宋体"/>
                <w:kern w:val="0"/>
                <w:sz w:val="18"/>
                <w:szCs w:val="18"/>
              </w:rPr>
            </w:pPr>
          </w:p>
        </w:tc>
        <w:tc>
          <w:tcPr>
            <w:tcW w:w="1807" w:type="dxa"/>
            <w:vAlign w:val="center"/>
          </w:tcPr>
          <w:p>
            <w:pPr>
              <w:widowControl/>
              <w:jc w:val="center"/>
              <w:rPr>
                <w:rFonts w:ascii="宋体" w:hAnsi="宋体"/>
                <w:kern w:val="0"/>
                <w:sz w:val="18"/>
                <w:szCs w:val="18"/>
              </w:rPr>
            </w:pPr>
          </w:p>
        </w:tc>
        <w:tc>
          <w:tcPr>
            <w:tcW w:w="1054" w:type="dxa"/>
            <w:vAlign w:val="center"/>
          </w:tcPr>
          <w:p>
            <w:pPr>
              <w:widowControl/>
              <w:jc w:val="center"/>
              <w:rPr>
                <w:rFonts w:ascii="宋体" w:hAnsi="宋体"/>
                <w:kern w:val="0"/>
                <w:sz w:val="18"/>
                <w:szCs w:val="18"/>
              </w:rPr>
            </w:pPr>
          </w:p>
        </w:tc>
        <w:tc>
          <w:tcPr>
            <w:tcW w:w="1069" w:type="dxa"/>
            <w:vAlign w:val="center"/>
          </w:tcPr>
          <w:p>
            <w:pPr>
              <w:widowControl/>
              <w:jc w:val="center"/>
              <w:rPr>
                <w:rFonts w:ascii="宋体" w:hAnsi="宋体"/>
                <w:kern w:val="0"/>
                <w:sz w:val="18"/>
                <w:szCs w:val="18"/>
              </w:rPr>
            </w:pPr>
          </w:p>
        </w:tc>
        <w:tc>
          <w:tcPr>
            <w:tcW w:w="2268" w:type="dxa"/>
            <w:shd w:val="clear" w:color="auto" w:fill="auto"/>
            <w:noWrap/>
            <w:vAlign w:val="center"/>
          </w:tcPr>
          <w:p>
            <w:pPr>
              <w:widowControl/>
              <w:jc w:val="center"/>
              <w:rPr>
                <w:rFonts w:ascii="宋体" w:hAnsi="宋体"/>
                <w:kern w:val="0"/>
                <w:sz w:val="18"/>
                <w:szCs w:val="18"/>
              </w:rPr>
            </w:pPr>
          </w:p>
        </w:tc>
        <w:tc>
          <w:tcPr>
            <w:tcW w:w="2483" w:type="dxa"/>
            <w:shd w:val="clear" w:color="auto" w:fill="auto"/>
            <w:noWrap/>
            <w:vAlign w:val="center"/>
          </w:tcPr>
          <w:p>
            <w:pPr>
              <w:widowControl/>
              <w:jc w:val="center"/>
              <w:rPr>
                <w:rFonts w:ascii="宋体" w:hAnsi="宋体"/>
                <w:kern w:val="0"/>
                <w:sz w:val="18"/>
                <w:szCs w:val="18"/>
              </w:rPr>
            </w:pPr>
          </w:p>
        </w:tc>
        <w:tc>
          <w:tcPr>
            <w:tcW w:w="993" w:type="dxa"/>
            <w:shd w:val="clear" w:color="auto" w:fill="auto"/>
            <w:noWrap/>
            <w:vAlign w:val="center"/>
          </w:tcPr>
          <w:p>
            <w:pPr>
              <w:widowControl/>
              <w:jc w:val="center"/>
              <w:rPr>
                <w:rFonts w:ascii="宋体" w:hAnsi="宋体"/>
                <w:kern w:val="0"/>
                <w:sz w:val="18"/>
                <w:szCs w:val="18"/>
              </w:rPr>
            </w:pPr>
          </w:p>
        </w:tc>
        <w:tc>
          <w:tcPr>
            <w:tcW w:w="1134" w:type="dxa"/>
            <w:vAlign w:val="center"/>
          </w:tcPr>
          <w:p>
            <w:pPr>
              <w:widowControl/>
              <w:jc w:val="center"/>
              <w:rPr>
                <w:rFonts w:ascii="宋体" w:hAnsi="宋体"/>
                <w:kern w:val="0"/>
                <w:sz w:val="18"/>
                <w:szCs w:val="18"/>
              </w:rPr>
            </w:pPr>
          </w:p>
        </w:tc>
        <w:tc>
          <w:tcPr>
            <w:tcW w:w="992" w:type="dxa"/>
            <w:shd w:val="clear" w:color="auto" w:fill="auto"/>
            <w:noWrap/>
            <w:vAlign w:val="center"/>
          </w:tcPr>
          <w:p>
            <w:pPr>
              <w:widowControl/>
              <w:jc w:val="center"/>
              <w:rPr>
                <w:rFonts w:ascii="宋体" w:hAns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jc w:val="center"/>
        </w:trPr>
        <w:tc>
          <w:tcPr>
            <w:tcW w:w="654" w:type="dxa"/>
            <w:shd w:val="clear" w:color="auto" w:fill="auto"/>
            <w:noWrap/>
            <w:vAlign w:val="center"/>
          </w:tcPr>
          <w:p>
            <w:pPr>
              <w:widowControl/>
              <w:jc w:val="center"/>
              <w:rPr>
                <w:rFonts w:ascii="宋体" w:hAnsi="宋体"/>
                <w:kern w:val="0"/>
                <w:sz w:val="18"/>
                <w:szCs w:val="18"/>
              </w:rPr>
            </w:pPr>
          </w:p>
        </w:tc>
        <w:tc>
          <w:tcPr>
            <w:tcW w:w="709" w:type="dxa"/>
            <w:vAlign w:val="center"/>
          </w:tcPr>
          <w:p>
            <w:pPr>
              <w:widowControl/>
              <w:jc w:val="center"/>
              <w:rPr>
                <w:rFonts w:ascii="宋体" w:hAnsi="宋体"/>
                <w:kern w:val="0"/>
                <w:sz w:val="18"/>
                <w:szCs w:val="18"/>
              </w:rPr>
            </w:pPr>
          </w:p>
        </w:tc>
        <w:tc>
          <w:tcPr>
            <w:tcW w:w="992" w:type="dxa"/>
            <w:vAlign w:val="center"/>
          </w:tcPr>
          <w:p>
            <w:pPr>
              <w:widowControl/>
              <w:jc w:val="center"/>
              <w:rPr>
                <w:rFonts w:ascii="宋体" w:hAnsi="宋体"/>
                <w:kern w:val="0"/>
                <w:sz w:val="18"/>
                <w:szCs w:val="18"/>
              </w:rPr>
            </w:pPr>
          </w:p>
        </w:tc>
        <w:tc>
          <w:tcPr>
            <w:tcW w:w="1807" w:type="dxa"/>
            <w:vAlign w:val="center"/>
          </w:tcPr>
          <w:p>
            <w:pPr>
              <w:widowControl/>
              <w:jc w:val="center"/>
              <w:rPr>
                <w:rFonts w:ascii="宋体" w:hAnsi="宋体"/>
                <w:kern w:val="0"/>
                <w:sz w:val="18"/>
                <w:szCs w:val="18"/>
              </w:rPr>
            </w:pPr>
          </w:p>
        </w:tc>
        <w:tc>
          <w:tcPr>
            <w:tcW w:w="1054" w:type="dxa"/>
            <w:vAlign w:val="center"/>
          </w:tcPr>
          <w:p>
            <w:pPr>
              <w:widowControl/>
              <w:jc w:val="center"/>
              <w:rPr>
                <w:rFonts w:ascii="宋体" w:hAnsi="宋体"/>
                <w:kern w:val="0"/>
                <w:sz w:val="18"/>
                <w:szCs w:val="18"/>
              </w:rPr>
            </w:pPr>
          </w:p>
        </w:tc>
        <w:tc>
          <w:tcPr>
            <w:tcW w:w="1069" w:type="dxa"/>
            <w:vAlign w:val="center"/>
          </w:tcPr>
          <w:p>
            <w:pPr>
              <w:widowControl/>
              <w:jc w:val="center"/>
              <w:rPr>
                <w:rFonts w:ascii="宋体" w:hAnsi="宋体"/>
                <w:kern w:val="0"/>
                <w:sz w:val="18"/>
                <w:szCs w:val="18"/>
              </w:rPr>
            </w:pPr>
          </w:p>
        </w:tc>
        <w:tc>
          <w:tcPr>
            <w:tcW w:w="2268" w:type="dxa"/>
            <w:shd w:val="clear" w:color="auto" w:fill="auto"/>
            <w:noWrap/>
            <w:vAlign w:val="center"/>
          </w:tcPr>
          <w:p>
            <w:pPr>
              <w:widowControl/>
              <w:jc w:val="center"/>
              <w:rPr>
                <w:rFonts w:ascii="宋体" w:hAnsi="宋体"/>
                <w:kern w:val="0"/>
                <w:sz w:val="18"/>
                <w:szCs w:val="18"/>
              </w:rPr>
            </w:pPr>
          </w:p>
        </w:tc>
        <w:tc>
          <w:tcPr>
            <w:tcW w:w="2483" w:type="dxa"/>
            <w:shd w:val="clear" w:color="auto" w:fill="auto"/>
            <w:noWrap/>
            <w:vAlign w:val="center"/>
          </w:tcPr>
          <w:p>
            <w:pPr>
              <w:widowControl/>
              <w:jc w:val="center"/>
              <w:rPr>
                <w:rFonts w:ascii="宋体" w:hAnsi="宋体"/>
                <w:kern w:val="0"/>
                <w:sz w:val="18"/>
                <w:szCs w:val="18"/>
              </w:rPr>
            </w:pPr>
          </w:p>
        </w:tc>
        <w:tc>
          <w:tcPr>
            <w:tcW w:w="993" w:type="dxa"/>
            <w:shd w:val="clear" w:color="auto" w:fill="auto"/>
            <w:noWrap/>
            <w:vAlign w:val="center"/>
          </w:tcPr>
          <w:p>
            <w:pPr>
              <w:widowControl/>
              <w:jc w:val="center"/>
              <w:rPr>
                <w:rFonts w:ascii="宋体" w:hAnsi="宋体"/>
                <w:kern w:val="0"/>
                <w:sz w:val="18"/>
                <w:szCs w:val="18"/>
              </w:rPr>
            </w:pPr>
          </w:p>
        </w:tc>
        <w:tc>
          <w:tcPr>
            <w:tcW w:w="1134" w:type="dxa"/>
            <w:vAlign w:val="center"/>
          </w:tcPr>
          <w:p>
            <w:pPr>
              <w:widowControl/>
              <w:jc w:val="center"/>
              <w:rPr>
                <w:rFonts w:ascii="宋体" w:hAnsi="宋体"/>
                <w:kern w:val="0"/>
                <w:sz w:val="18"/>
                <w:szCs w:val="18"/>
              </w:rPr>
            </w:pPr>
          </w:p>
        </w:tc>
        <w:tc>
          <w:tcPr>
            <w:tcW w:w="992" w:type="dxa"/>
            <w:shd w:val="clear" w:color="auto" w:fill="auto"/>
            <w:noWrap/>
            <w:vAlign w:val="center"/>
          </w:tcPr>
          <w:p>
            <w:pPr>
              <w:widowControl/>
              <w:jc w:val="center"/>
              <w:rPr>
                <w:rFonts w:ascii="宋体" w:hAns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jc w:val="center"/>
        </w:trPr>
        <w:tc>
          <w:tcPr>
            <w:tcW w:w="654" w:type="dxa"/>
            <w:shd w:val="clear" w:color="auto" w:fill="auto"/>
            <w:noWrap/>
            <w:vAlign w:val="center"/>
          </w:tcPr>
          <w:p>
            <w:pPr>
              <w:widowControl/>
              <w:jc w:val="center"/>
              <w:rPr>
                <w:rFonts w:ascii="宋体" w:hAnsi="宋体"/>
                <w:kern w:val="0"/>
                <w:sz w:val="18"/>
                <w:szCs w:val="18"/>
              </w:rPr>
            </w:pPr>
          </w:p>
        </w:tc>
        <w:tc>
          <w:tcPr>
            <w:tcW w:w="709" w:type="dxa"/>
            <w:vAlign w:val="center"/>
          </w:tcPr>
          <w:p>
            <w:pPr>
              <w:widowControl/>
              <w:jc w:val="center"/>
              <w:rPr>
                <w:rFonts w:ascii="宋体" w:hAnsi="宋体"/>
                <w:kern w:val="0"/>
                <w:sz w:val="18"/>
                <w:szCs w:val="18"/>
              </w:rPr>
            </w:pPr>
          </w:p>
        </w:tc>
        <w:tc>
          <w:tcPr>
            <w:tcW w:w="992" w:type="dxa"/>
            <w:vAlign w:val="center"/>
          </w:tcPr>
          <w:p>
            <w:pPr>
              <w:widowControl/>
              <w:jc w:val="center"/>
              <w:rPr>
                <w:rFonts w:ascii="宋体" w:hAnsi="宋体"/>
                <w:kern w:val="0"/>
                <w:sz w:val="18"/>
                <w:szCs w:val="18"/>
              </w:rPr>
            </w:pPr>
          </w:p>
        </w:tc>
        <w:tc>
          <w:tcPr>
            <w:tcW w:w="1807" w:type="dxa"/>
            <w:vAlign w:val="center"/>
          </w:tcPr>
          <w:p>
            <w:pPr>
              <w:widowControl/>
              <w:jc w:val="center"/>
              <w:rPr>
                <w:rFonts w:ascii="宋体" w:hAnsi="宋体"/>
                <w:kern w:val="0"/>
                <w:sz w:val="18"/>
                <w:szCs w:val="18"/>
              </w:rPr>
            </w:pPr>
          </w:p>
        </w:tc>
        <w:tc>
          <w:tcPr>
            <w:tcW w:w="1054" w:type="dxa"/>
            <w:vAlign w:val="center"/>
          </w:tcPr>
          <w:p>
            <w:pPr>
              <w:widowControl/>
              <w:jc w:val="center"/>
              <w:rPr>
                <w:rFonts w:ascii="宋体" w:hAnsi="宋体"/>
                <w:kern w:val="0"/>
                <w:sz w:val="18"/>
                <w:szCs w:val="18"/>
              </w:rPr>
            </w:pPr>
          </w:p>
        </w:tc>
        <w:tc>
          <w:tcPr>
            <w:tcW w:w="1069" w:type="dxa"/>
            <w:vAlign w:val="center"/>
          </w:tcPr>
          <w:p>
            <w:pPr>
              <w:widowControl/>
              <w:jc w:val="center"/>
              <w:rPr>
                <w:rFonts w:ascii="宋体" w:hAnsi="宋体"/>
                <w:kern w:val="0"/>
                <w:sz w:val="18"/>
                <w:szCs w:val="18"/>
              </w:rPr>
            </w:pPr>
          </w:p>
        </w:tc>
        <w:tc>
          <w:tcPr>
            <w:tcW w:w="2268" w:type="dxa"/>
            <w:shd w:val="clear" w:color="auto" w:fill="auto"/>
            <w:noWrap/>
            <w:vAlign w:val="center"/>
          </w:tcPr>
          <w:p>
            <w:pPr>
              <w:widowControl/>
              <w:jc w:val="center"/>
              <w:rPr>
                <w:rFonts w:ascii="宋体" w:hAnsi="宋体"/>
                <w:kern w:val="0"/>
                <w:sz w:val="18"/>
                <w:szCs w:val="18"/>
              </w:rPr>
            </w:pPr>
          </w:p>
        </w:tc>
        <w:tc>
          <w:tcPr>
            <w:tcW w:w="2483" w:type="dxa"/>
            <w:shd w:val="clear" w:color="auto" w:fill="auto"/>
            <w:noWrap/>
            <w:vAlign w:val="center"/>
          </w:tcPr>
          <w:p>
            <w:pPr>
              <w:widowControl/>
              <w:jc w:val="center"/>
              <w:rPr>
                <w:rFonts w:ascii="宋体" w:hAnsi="宋体"/>
                <w:kern w:val="0"/>
                <w:sz w:val="18"/>
                <w:szCs w:val="18"/>
              </w:rPr>
            </w:pPr>
          </w:p>
        </w:tc>
        <w:tc>
          <w:tcPr>
            <w:tcW w:w="993" w:type="dxa"/>
            <w:shd w:val="clear" w:color="auto" w:fill="auto"/>
            <w:noWrap/>
            <w:vAlign w:val="center"/>
          </w:tcPr>
          <w:p>
            <w:pPr>
              <w:widowControl/>
              <w:jc w:val="center"/>
              <w:rPr>
                <w:rFonts w:ascii="宋体" w:hAnsi="宋体"/>
                <w:kern w:val="0"/>
                <w:sz w:val="18"/>
                <w:szCs w:val="18"/>
              </w:rPr>
            </w:pPr>
          </w:p>
        </w:tc>
        <w:tc>
          <w:tcPr>
            <w:tcW w:w="1134" w:type="dxa"/>
            <w:vAlign w:val="center"/>
          </w:tcPr>
          <w:p>
            <w:pPr>
              <w:widowControl/>
              <w:jc w:val="center"/>
              <w:rPr>
                <w:rFonts w:ascii="宋体" w:hAnsi="宋体"/>
                <w:kern w:val="0"/>
                <w:sz w:val="18"/>
                <w:szCs w:val="18"/>
              </w:rPr>
            </w:pPr>
          </w:p>
        </w:tc>
        <w:tc>
          <w:tcPr>
            <w:tcW w:w="992" w:type="dxa"/>
            <w:shd w:val="clear" w:color="auto" w:fill="auto"/>
            <w:noWrap/>
            <w:vAlign w:val="center"/>
          </w:tcPr>
          <w:p>
            <w:pPr>
              <w:widowControl/>
              <w:jc w:val="center"/>
              <w:rPr>
                <w:rFonts w:ascii="宋体" w:hAns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jc w:val="center"/>
        </w:trPr>
        <w:tc>
          <w:tcPr>
            <w:tcW w:w="654" w:type="dxa"/>
            <w:shd w:val="clear" w:color="auto" w:fill="auto"/>
            <w:noWrap/>
            <w:vAlign w:val="center"/>
          </w:tcPr>
          <w:p>
            <w:pPr>
              <w:widowControl/>
              <w:jc w:val="center"/>
              <w:rPr>
                <w:rFonts w:ascii="宋体" w:hAnsi="宋体"/>
                <w:kern w:val="0"/>
                <w:sz w:val="18"/>
                <w:szCs w:val="18"/>
              </w:rPr>
            </w:pPr>
          </w:p>
        </w:tc>
        <w:tc>
          <w:tcPr>
            <w:tcW w:w="709" w:type="dxa"/>
            <w:vAlign w:val="center"/>
          </w:tcPr>
          <w:p>
            <w:pPr>
              <w:widowControl/>
              <w:jc w:val="center"/>
              <w:rPr>
                <w:rFonts w:ascii="宋体" w:hAnsi="宋体"/>
                <w:kern w:val="0"/>
                <w:sz w:val="18"/>
                <w:szCs w:val="18"/>
              </w:rPr>
            </w:pPr>
          </w:p>
        </w:tc>
        <w:tc>
          <w:tcPr>
            <w:tcW w:w="992" w:type="dxa"/>
            <w:vAlign w:val="center"/>
          </w:tcPr>
          <w:p>
            <w:pPr>
              <w:widowControl/>
              <w:jc w:val="center"/>
              <w:rPr>
                <w:rFonts w:ascii="宋体" w:hAnsi="宋体"/>
                <w:kern w:val="0"/>
                <w:sz w:val="18"/>
                <w:szCs w:val="18"/>
              </w:rPr>
            </w:pPr>
          </w:p>
        </w:tc>
        <w:tc>
          <w:tcPr>
            <w:tcW w:w="1807" w:type="dxa"/>
            <w:vAlign w:val="center"/>
          </w:tcPr>
          <w:p>
            <w:pPr>
              <w:widowControl/>
              <w:jc w:val="center"/>
              <w:rPr>
                <w:rFonts w:ascii="宋体" w:hAnsi="宋体"/>
                <w:kern w:val="0"/>
                <w:sz w:val="18"/>
                <w:szCs w:val="18"/>
              </w:rPr>
            </w:pPr>
          </w:p>
        </w:tc>
        <w:tc>
          <w:tcPr>
            <w:tcW w:w="1054" w:type="dxa"/>
            <w:vAlign w:val="center"/>
          </w:tcPr>
          <w:p>
            <w:pPr>
              <w:widowControl/>
              <w:jc w:val="center"/>
              <w:rPr>
                <w:rFonts w:ascii="宋体" w:hAnsi="宋体"/>
                <w:kern w:val="0"/>
                <w:sz w:val="18"/>
                <w:szCs w:val="18"/>
              </w:rPr>
            </w:pPr>
          </w:p>
        </w:tc>
        <w:tc>
          <w:tcPr>
            <w:tcW w:w="1069" w:type="dxa"/>
            <w:vAlign w:val="center"/>
          </w:tcPr>
          <w:p>
            <w:pPr>
              <w:widowControl/>
              <w:jc w:val="center"/>
              <w:rPr>
                <w:rFonts w:ascii="宋体" w:hAnsi="宋体"/>
                <w:kern w:val="0"/>
                <w:sz w:val="18"/>
                <w:szCs w:val="18"/>
              </w:rPr>
            </w:pPr>
          </w:p>
        </w:tc>
        <w:tc>
          <w:tcPr>
            <w:tcW w:w="2268" w:type="dxa"/>
            <w:shd w:val="clear" w:color="auto" w:fill="auto"/>
            <w:noWrap/>
            <w:vAlign w:val="center"/>
          </w:tcPr>
          <w:p>
            <w:pPr>
              <w:widowControl/>
              <w:jc w:val="center"/>
              <w:rPr>
                <w:rFonts w:ascii="宋体" w:hAnsi="宋体"/>
                <w:kern w:val="0"/>
                <w:sz w:val="18"/>
                <w:szCs w:val="18"/>
              </w:rPr>
            </w:pPr>
          </w:p>
        </w:tc>
        <w:tc>
          <w:tcPr>
            <w:tcW w:w="2483" w:type="dxa"/>
            <w:shd w:val="clear" w:color="auto" w:fill="auto"/>
            <w:noWrap/>
            <w:vAlign w:val="center"/>
          </w:tcPr>
          <w:p>
            <w:pPr>
              <w:widowControl/>
              <w:jc w:val="center"/>
              <w:rPr>
                <w:rFonts w:ascii="宋体" w:hAnsi="宋体"/>
                <w:kern w:val="0"/>
                <w:sz w:val="18"/>
                <w:szCs w:val="18"/>
              </w:rPr>
            </w:pPr>
          </w:p>
        </w:tc>
        <w:tc>
          <w:tcPr>
            <w:tcW w:w="993" w:type="dxa"/>
            <w:shd w:val="clear" w:color="auto" w:fill="auto"/>
            <w:noWrap/>
            <w:vAlign w:val="center"/>
          </w:tcPr>
          <w:p>
            <w:pPr>
              <w:widowControl/>
              <w:jc w:val="center"/>
              <w:rPr>
                <w:rFonts w:ascii="宋体" w:hAnsi="宋体"/>
                <w:kern w:val="0"/>
                <w:sz w:val="18"/>
                <w:szCs w:val="18"/>
              </w:rPr>
            </w:pPr>
          </w:p>
        </w:tc>
        <w:tc>
          <w:tcPr>
            <w:tcW w:w="1134" w:type="dxa"/>
            <w:vAlign w:val="center"/>
          </w:tcPr>
          <w:p>
            <w:pPr>
              <w:widowControl/>
              <w:jc w:val="center"/>
              <w:rPr>
                <w:rFonts w:ascii="宋体" w:hAnsi="宋体"/>
                <w:kern w:val="0"/>
                <w:sz w:val="18"/>
                <w:szCs w:val="18"/>
              </w:rPr>
            </w:pPr>
          </w:p>
        </w:tc>
        <w:tc>
          <w:tcPr>
            <w:tcW w:w="992" w:type="dxa"/>
            <w:shd w:val="clear" w:color="auto" w:fill="auto"/>
            <w:noWrap/>
            <w:vAlign w:val="center"/>
          </w:tcPr>
          <w:p>
            <w:pPr>
              <w:widowControl/>
              <w:jc w:val="center"/>
              <w:rPr>
                <w:rFonts w:ascii="宋体" w:hAns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jc w:val="center"/>
        </w:trPr>
        <w:tc>
          <w:tcPr>
            <w:tcW w:w="654" w:type="dxa"/>
            <w:shd w:val="clear" w:color="auto" w:fill="auto"/>
            <w:noWrap/>
            <w:vAlign w:val="center"/>
          </w:tcPr>
          <w:p>
            <w:pPr>
              <w:widowControl/>
              <w:jc w:val="center"/>
              <w:rPr>
                <w:rFonts w:ascii="宋体" w:hAnsi="宋体"/>
                <w:kern w:val="0"/>
                <w:sz w:val="18"/>
                <w:szCs w:val="18"/>
              </w:rPr>
            </w:pPr>
          </w:p>
        </w:tc>
        <w:tc>
          <w:tcPr>
            <w:tcW w:w="709" w:type="dxa"/>
            <w:vAlign w:val="center"/>
          </w:tcPr>
          <w:p>
            <w:pPr>
              <w:widowControl/>
              <w:jc w:val="center"/>
              <w:rPr>
                <w:rFonts w:ascii="宋体" w:hAnsi="宋体"/>
                <w:kern w:val="0"/>
                <w:sz w:val="18"/>
                <w:szCs w:val="18"/>
              </w:rPr>
            </w:pPr>
          </w:p>
        </w:tc>
        <w:tc>
          <w:tcPr>
            <w:tcW w:w="992" w:type="dxa"/>
            <w:vAlign w:val="center"/>
          </w:tcPr>
          <w:p>
            <w:pPr>
              <w:widowControl/>
              <w:jc w:val="center"/>
              <w:rPr>
                <w:rFonts w:ascii="宋体" w:hAnsi="宋体"/>
                <w:kern w:val="0"/>
                <w:sz w:val="18"/>
                <w:szCs w:val="18"/>
              </w:rPr>
            </w:pPr>
          </w:p>
        </w:tc>
        <w:tc>
          <w:tcPr>
            <w:tcW w:w="1807" w:type="dxa"/>
            <w:vAlign w:val="center"/>
          </w:tcPr>
          <w:p>
            <w:pPr>
              <w:widowControl/>
              <w:jc w:val="center"/>
              <w:rPr>
                <w:rFonts w:ascii="宋体" w:hAnsi="宋体"/>
                <w:kern w:val="0"/>
                <w:sz w:val="18"/>
                <w:szCs w:val="18"/>
              </w:rPr>
            </w:pPr>
          </w:p>
        </w:tc>
        <w:tc>
          <w:tcPr>
            <w:tcW w:w="1054" w:type="dxa"/>
            <w:vAlign w:val="center"/>
          </w:tcPr>
          <w:p>
            <w:pPr>
              <w:widowControl/>
              <w:jc w:val="center"/>
              <w:rPr>
                <w:rFonts w:ascii="宋体" w:hAnsi="宋体"/>
                <w:kern w:val="0"/>
                <w:sz w:val="18"/>
                <w:szCs w:val="18"/>
              </w:rPr>
            </w:pPr>
          </w:p>
        </w:tc>
        <w:tc>
          <w:tcPr>
            <w:tcW w:w="1069" w:type="dxa"/>
            <w:vAlign w:val="center"/>
          </w:tcPr>
          <w:p>
            <w:pPr>
              <w:widowControl/>
              <w:jc w:val="center"/>
              <w:rPr>
                <w:rFonts w:ascii="宋体" w:hAnsi="宋体"/>
                <w:kern w:val="0"/>
                <w:sz w:val="18"/>
                <w:szCs w:val="18"/>
              </w:rPr>
            </w:pPr>
          </w:p>
        </w:tc>
        <w:tc>
          <w:tcPr>
            <w:tcW w:w="2268" w:type="dxa"/>
            <w:shd w:val="clear" w:color="auto" w:fill="auto"/>
            <w:noWrap/>
            <w:vAlign w:val="center"/>
          </w:tcPr>
          <w:p>
            <w:pPr>
              <w:widowControl/>
              <w:jc w:val="center"/>
              <w:rPr>
                <w:rFonts w:ascii="宋体" w:hAnsi="宋体"/>
                <w:kern w:val="0"/>
                <w:sz w:val="18"/>
                <w:szCs w:val="18"/>
              </w:rPr>
            </w:pPr>
          </w:p>
        </w:tc>
        <w:tc>
          <w:tcPr>
            <w:tcW w:w="2483" w:type="dxa"/>
            <w:shd w:val="clear" w:color="auto" w:fill="auto"/>
            <w:noWrap/>
            <w:vAlign w:val="center"/>
          </w:tcPr>
          <w:p>
            <w:pPr>
              <w:widowControl/>
              <w:jc w:val="center"/>
              <w:rPr>
                <w:rFonts w:ascii="宋体" w:hAnsi="宋体"/>
                <w:kern w:val="0"/>
                <w:sz w:val="18"/>
                <w:szCs w:val="18"/>
              </w:rPr>
            </w:pPr>
          </w:p>
        </w:tc>
        <w:tc>
          <w:tcPr>
            <w:tcW w:w="993" w:type="dxa"/>
            <w:shd w:val="clear" w:color="auto" w:fill="auto"/>
            <w:noWrap/>
            <w:vAlign w:val="center"/>
          </w:tcPr>
          <w:p>
            <w:pPr>
              <w:widowControl/>
              <w:jc w:val="center"/>
              <w:rPr>
                <w:rFonts w:ascii="宋体" w:hAnsi="宋体"/>
                <w:kern w:val="0"/>
                <w:sz w:val="18"/>
                <w:szCs w:val="18"/>
              </w:rPr>
            </w:pPr>
          </w:p>
        </w:tc>
        <w:tc>
          <w:tcPr>
            <w:tcW w:w="1134" w:type="dxa"/>
            <w:vAlign w:val="center"/>
          </w:tcPr>
          <w:p>
            <w:pPr>
              <w:widowControl/>
              <w:jc w:val="center"/>
              <w:rPr>
                <w:rFonts w:ascii="宋体" w:hAnsi="宋体"/>
                <w:kern w:val="0"/>
                <w:sz w:val="18"/>
                <w:szCs w:val="18"/>
              </w:rPr>
            </w:pPr>
          </w:p>
        </w:tc>
        <w:tc>
          <w:tcPr>
            <w:tcW w:w="992" w:type="dxa"/>
            <w:shd w:val="clear" w:color="auto" w:fill="auto"/>
            <w:noWrap/>
            <w:vAlign w:val="center"/>
          </w:tcPr>
          <w:p>
            <w:pPr>
              <w:widowControl/>
              <w:jc w:val="center"/>
              <w:rPr>
                <w:rFonts w:ascii="宋体" w:hAns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jc w:val="center"/>
        </w:trPr>
        <w:tc>
          <w:tcPr>
            <w:tcW w:w="654" w:type="dxa"/>
            <w:shd w:val="clear" w:color="auto" w:fill="auto"/>
            <w:noWrap/>
            <w:vAlign w:val="center"/>
          </w:tcPr>
          <w:p>
            <w:pPr>
              <w:widowControl/>
              <w:jc w:val="center"/>
              <w:rPr>
                <w:rFonts w:ascii="宋体" w:hAnsi="宋体"/>
                <w:kern w:val="0"/>
                <w:sz w:val="18"/>
                <w:szCs w:val="18"/>
              </w:rPr>
            </w:pPr>
          </w:p>
        </w:tc>
        <w:tc>
          <w:tcPr>
            <w:tcW w:w="709" w:type="dxa"/>
            <w:vAlign w:val="center"/>
          </w:tcPr>
          <w:p>
            <w:pPr>
              <w:widowControl/>
              <w:jc w:val="center"/>
              <w:rPr>
                <w:rFonts w:ascii="宋体" w:hAnsi="宋体"/>
                <w:kern w:val="0"/>
                <w:sz w:val="18"/>
                <w:szCs w:val="18"/>
              </w:rPr>
            </w:pPr>
          </w:p>
        </w:tc>
        <w:tc>
          <w:tcPr>
            <w:tcW w:w="992" w:type="dxa"/>
            <w:vAlign w:val="center"/>
          </w:tcPr>
          <w:p>
            <w:pPr>
              <w:widowControl/>
              <w:jc w:val="center"/>
              <w:rPr>
                <w:rFonts w:ascii="宋体" w:hAnsi="宋体"/>
                <w:kern w:val="0"/>
                <w:sz w:val="18"/>
                <w:szCs w:val="18"/>
              </w:rPr>
            </w:pPr>
          </w:p>
        </w:tc>
        <w:tc>
          <w:tcPr>
            <w:tcW w:w="1807" w:type="dxa"/>
            <w:vAlign w:val="center"/>
          </w:tcPr>
          <w:p>
            <w:pPr>
              <w:widowControl/>
              <w:jc w:val="center"/>
              <w:rPr>
                <w:rFonts w:ascii="宋体" w:hAnsi="宋体"/>
                <w:kern w:val="0"/>
                <w:sz w:val="18"/>
                <w:szCs w:val="18"/>
              </w:rPr>
            </w:pPr>
          </w:p>
        </w:tc>
        <w:tc>
          <w:tcPr>
            <w:tcW w:w="1054" w:type="dxa"/>
            <w:vAlign w:val="center"/>
          </w:tcPr>
          <w:p>
            <w:pPr>
              <w:widowControl/>
              <w:jc w:val="center"/>
              <w:rPr>
                <w:rFonts w:ascii="宋体" w:hAnsi="宋体"/>
                <w:kern w:val="0"/>
                <w:sz w:val="18"/>
                <w:szCs w:val="18"/>
              </w:rPr>
            </w:pPr>
          </w:p>
        </w:tc>
        <w:tc>
          <w:tcPr>
            <w:tcW w:w="1069" w:type="dxa"/>
            <w:vAlign w:val="center"/>
          </w:tcPr>
          <w:p>
            <w:pPr>
              <w:widowControl/>
              <w:jc w:val="center"/>
              <w:rPr>
                <w:rFonts w:ascii="宋体" w:hAnsi="宋体"/>
                <w:kern w:val="0"/>
                <w:sz w:val="18"/>
                <w:szCs w:val="18"/>
              </w:rPr>
            </w:pPr>
          </w:p>
        </w:tc>
        <w:tc>
          <w:tcPr>
            <w:tcW w:w="2268" w:type="dxa"/>
            <w:shd w:val="clear" w:color="auto" w:fill="auto"/>
            <w:noWrap/>
            <w:vAlign w:val="center"/>
          </w:tcPr>
          <w:p>
            <w:pPr>
              <w:widowControl/>
              <w:jc w:val="center"/>
              <w:rPr>
                <w:rFonts w:ascii="宋体" w:hAnsi="宋体"/>
                <w:kern w:val="0"/>
                <w:sz w:val="18"/>
                <w:szCs w:val="18"/>
              </w:rPr>
            </w:pPr>
          </w:p>
        </w:tc>
        <w:tc>
          <w:tcPr>
            <w:tcW w:w="2483" w:type="dxa"/>
            <w:shd w:val="clear" w:color="auto" w:fill="auto"/>
            <w:noWrap/>
            <w:vAlign w:val="center"/>
          </w:tcPr>
          <w:p>
            <w:pPr>
              <w:widowControl/>
              <w:jc w:val="center"/>
              <w:rPr>
                <w:rFonts w:ascii="宋体" w:hAnsi="宋体"/>
                <w:kern w:val="0"/>
                <w:sz w:val="18"/>
                <w:szCs w:val="18"/>
              </w:rPr>
            </w:pPr>
          </w:p>
        </w:tc>
        <w:tc>
          <w:tcPr>
            <w:tcW w:w="993" w:type="dxa"/>
            <w:shd w:val="clear" w:color="auto" w:fill="auto"/>
            <w:noWrap/>
            <w:vAlign w:val="center"/>
          </w:tcPr>
          <w:p>
            <w:pPr>
              <w:widowControl/>
              <w:jc w:val="center"/>
              <w:rPr>
                <w:rFonts w:ascii="宋体" w:hAnsi="宋体"/>
                <w:kern w:val="0"/>
                <w:sz w:val="18"/>
                <w:szCs w:val="18"/>
              </w:rPr>
            </w:pPr>
          </w:p>
        </w:tc>
        <w:tc>
          <w:tcPr>
            <w:tcW w:w="1134" w:type="dxa"/>
            <w:vAlign w:val="center"/>
          </w:tcPr>
          <w:p>
            <w:pPr>
              <w:widowControl/>
              <w:jc w:val="center"/>
              <w:rPr>
                <w:rFonts w:ascii="宋体" w:hAnsi="宋体"/>
                <w:kern w:val="0"/>
                <w:sz w:val="18"/>
                <w:szCs w:val="18"/>
              </w:rPr>
            </w:pPr>
          </w:p>
        </w:tc>
        <w:tc>
          <w:tcPr>
            <w:tcW w:w="992" w:type="dxa"/>
            <w:shd w:val="clear" w:color="auto" w:fill="auto"/>
            <w:noWrap/>
            <w:vAlign w:val="center"/>
          </w:tcPr>
          <w:p>
            <w:pPr>
              <w:widowControl/>
              <w:jc w:val="center"/>
              <w:rPr>
                <w:rFonts w:ascii="宋体" w:hAns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jc w:val="center"/>
        </w:trPr>
        <w:tc>
          <w:tcPr>
            <w:tcW w:w="654" w:type="dxa"/>
            <w:shd w:val="clear" w:color="auto" w:fill="auto"/>
            <w:noWrap/>
            <w:vAlign w:val="center"/>
          </w:tcPr>
          <w:p>
            <w:pPr>
              <w:widowControl/>
              <w:jc w:val="center"/>
              <w:rPr>
                <w:rFonts w:ascii="宋体" w:hAnsi="宋体"/>
                <w:kern w:val="0"/>
                <w:sz w:val="18"/>
                <w:szCs w:val="18"/>
              </w:rPr>
            </w:pPr>
          </w:p>
        </w:tc>
        <w:tc>
          <w:tcPr>
            <w:tcW w:w="709" w:type="dxa"/>
            <w:vAlign w:val="center"/>
          </w:tcPr>
          <w:p>
            <w:pPr>
              <w:widowControl/>
              <w:jc w:val="center"/>
              <w:rPr>
                <w:rFonts w:ascii="宋体" w:hAnsi="宋体"/>
                <w:kern w:val="0"/>
                <w:sz w:val="18"/>
                <w:szCs w:val="18"/>
              </w:rPr>
            </w:pPr>
          </w:p>
        </w:tc>
        <w:tc>
          <w:tcPr>
            <w:tcW w:w="992" w:type="dxa"/>
            <w:vAlign w:val="center"/>
          </w:tcPr>
          <w:p>
            <w:pPr>
              <w:widowControl/>
              <w:jc w:val="center"/>
              <w:rPr>
                <w:rFonts w:ascii="宋体" w:hAnsi="宋体"/>
                <w:kern w:val="0"/>
                <w:sz w:val="18"/>
                <w:szCs w:val="18"/>
              </w:rPr>
            </w:pPr>
          </w:p>
        </w:tc>
        <w:tc>
          <w:tcPr>
            <w:tcW w:w="1807" w:type="dxa"/>
            <w:vAlign w:val="center"/>
          </w:tcPr>
          <w:p>
            <w:pPr>
              <w:widowControl/>
              <w:jc w:val="center"/>
              <w:rPr>
                <w:rFonts w:ascii="宋体" w:hAnsi="宋体"/>
                <w:kern w:val="0"/>
                <w:sz w:val="18"/>
                <w:szCs w:val="18"/>
              </w:rPr>
            </w:pPr>
          </w:p>
        </w:tc>
        <w:tc>
          <w:tcPr>
            <w:tcW w:w="1054" w:type="dxa"/>
            <w:vAlign w:val="center"/>
          </w:tcPr>
          <w:p>
            <w:pPr>
              <w:widowControl/>
              <w:jc w:val="center"/>
              <w:rPr>
                <w:rFonts w:ascii="宋体" w:hAnsi="宋体"/>
                <w:kern w:val="0"/>
                <w:sz w:val="18"/>
                <w:szCs w:val="18"/>
              </w:rPr>
            </w:pPr>
          </w:p>
        </w:tc>
        <w:tc>
          <w:tcPr>
            <w:tcW w:w="1069" w:type="dxa"/>
            <w:vAlign w:val="center"/>
          </w:tcPr>
          <w:p>
            <w:pPr>
              <w:widowControl/>
              <w:jc w:val="center"/>
              <w:rPr>
                <w:rFonts w:ascii="宋体" w:hAnsi="宋体"/>
                <w:kern w:val="0"/>
                <w:sz w:val="18"/>
                <w:szCs w:val="18"/>
              </w:rPr>
            </w:pPr>
          </w:p>
        </w:tc>
        <w:tc>
          <w:tcPr>
            <w:tcW w:w="2268" w:type="dxa"/>
            <w:shd w:val="clear" w:color="auto" w:fill="auto"/>
            <w:noWrap/>
            <w:vAlign w:val="center"/>
          </w:tcPr>
          <w:p>
            <w:pPr>
              <w:widowControl/>
              <w:jc w:val="center"/>
              <w:rPr>
                <w:rFonts w:ascii="宋体" w:hAnsi="宋体"/>
                <w:kern w:val="0"/>
                <w:sz w:val="18"/>
                <w:szCs w:val="18"/>
              </w:rPr>
            </w:pPr>
          </w:p>
        </w:tc>
        <w:tc>
          <w:tcPr>
            <w:tcW w:w="2483" w:type="dxa"/>
            <w:shd w:val="clear" w:color="auto" w:fill="auto"/>
            <w:noWrap/>
            <w:vAlign w:val="center"/>
          </w:tcPr>
          <w:p>
            <w:pPr>
              <w:widowControl/>
              <w:jc w:val="center"/>
              <w:rPr>
                <w:rFonts w:ascii="宋体" w:hAnsi="宋体"/>
                <w:kern w:val="0"/>
                <w:sz w:val="18"/>
                <w:szCs w:val="18"/>
              </w:rPr>
            </w:pPr>
          </w:p>
        </w:tc>
        <w:tc>
          <w:tcPr>
            <w:tcW w:w="993" w:type="dxa"/>
            <w:shd w:val="clear" w:color="auto" w:fill="auto"/>
            <w:noWrap/>
            <w:vAlign w:val="center"/>
          </w:tcPr>
          <w:p>
            <w:pPr>
              <w:widowControl/>
              <w:jc w:val="center"/>
              <w:rPr>
                <w:rFonts w:ascii="宋体" w:hAnsi="宋体"/>
                <w:kern w:val="0"/>
                <w:sz w:val="18"/>
                <w:szCs w:val="18"/>
              </w:rPr>
            </w:pPr>
          </w:p>
        </w:tc>
        <w:tc>
          <w:tcPr>
            <w:tcW w:w="1134" w:type="dxa"/>
            <w:vAlign w:val="center"/>
          </w:tcPr>
          <w:p>
            <w:pPr>
              <w:widowControl/>
              <w:jc w:val="center"/>
              <w:rPr>
                <w:rFonts w:ascii="宋体" w:hAnsi="宋体"/>
                <w:kern w:val="0"/>
                <w:sz w:val="18"/>
                <w:szCs w:val="18"/>
              </w:rPr>
            </w:pPr>
          </w:p>
        </w:tc>
        <w:tc>
          <w:tcPr>
            <w:tcW w:w="992" w:type="dxa"/>
            <w:shd w:val="clear" w:color="auto" w:fill="auto"/>
            <w:noWrap/>
            <w:vAlign w:val="center"/>
          </w:tcPr>
          <w:p>
            <w:pPr>
              <w:widowControl/>
              <w:jc w:val="center"/>
              <w:rPr>
                <w:rFonts w:ascii="宋体" w:hAns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jc w:val="center"/>
        </w:trPr>
        <w:tc>
          <w:tcPr>
            <w:tcW w:w="654" w:type="dxa"/>
            <w:shd w:val="clear" w:color="auto" w:fill="auto"/>
            <w:noWrap/>
            <w:vAlign w:val="center"/>
          </w:tcPr>
          <w:p>
            <w:pPr>
              <w:widowControl/>
              <w:jc w:val="center"/>
              <w:rPr>
                <w:rFonts w:ascii="宋体" w:hAnsi="宋体"/>
                <w:kern w:val="0"/>
                <w:sz w:val="18"/>
                <w:szCs w:val="18"/>
              </w:rPr>
            </w:pPr>
          </w:p>
        </w:tc>
        <w:tc>
          <w:tcPr>
            <w:tcW w:w="709" w:type="dxa"/>
            <w:vAlign w:val="center"/>
          </w:tcPr>
          <w:p>
            <w:pPr>
              <w:widowControl/>
              <w:jc w:val="center"/>
              <w:rPr>
                <w:rFonts w:ascii="宋体" w:hAnsi="宋体"/>
                <w:kern w:val="0"/>
                <w:sz w:val="18"/>
                <w:szCs w:val="18"/>
              </w:rPr>
            </w:pPr>
          </w:p>
        </w:tc>
        <w:tc>
          <w:tcPr>
            <w:tcW w:w="992" w:type="dxa"/>
            <w:vAlign w:val="center"/>
          </w:tcPr>
          <w:p>
            <w:pPr>
              <w:widowControl/>
              <w:jc w:val="center"/>
              <w:rPr>
                <w:rFonts w:ascii="宋体" w:hAnsi="宋体"/>
                <w:kern w:val="0"/>
                <w:sz w:val="18"/>
                <w:szCs w:val="18"/>
              </w:rPr>
            </w:pPr>
          </w:p>
        </w:tc>
        <w:tc>
          <w:tcPr>
            <w:tcW w:w="1807" w:type="dxa"/>
            <w:vAlign w:val="center"/>
          </w:tcPr>
          <w:p>
            <w:pPr>
              <w:widowControl/>
              <w:jc w:val="center"/>
              <w:rPr>
                <w:rFonts w:ascii="宋体" w:hAnsi="宋体"/>
                <w:kern w:val="0"/>
                <w:sz w:val="18"/>
                <w:szCs w:val="18"/>
              </w:rPr>
            </w:pPr>
          </w:p>
        </w:tc>
        <w:tc>
          <w:tcPr>
            <w:tcW w:w="1054" w:type="dxa"/>
            <w:vAlign w:val="center"/>
          </w:tcPr>
          <w:p>
            <w:pPr>
              <w:widowControl/>
              <w:jc w:val="center"/>
              <w:rPr>
                <w:rFonts w:ascii="宋体" w:hAnsi="宋体"/>
                <w:kern w:val="0"/>
                <w:sz w:val="18"/>
                <w:szCs w:val="18"/>
              </w:rPr>
            </w:pPr>
          </w:p>
        </w:tc>
        <w:tc>
          <w:tcPr>
            <w:tcW w:w="1069" w:type="dxa"/>
            <w:vAlign w:val="center"/>
          </w:tcPr>
          <w:p>
            <w:pPr>
              <w:widowControl/>
              <w:jc w:val="center"/>
              <w:rPr>
                <w:rFonts w:ascii="宋体" w:hAnsi="宋体"/>
                <w:kern w:val="0"/>
                <w:sz w:val="18"/>
                <w:szCs w:val="18"/>
              </w:rPr>
            </w:pPr>
          </w:p>
        </w:tc>
        <w:tc>
          <w:tcPr>
            <w:tcW w:w="2268" w:type="dxa"/>
            <w:shd w:val="clear" w:color="auto" w:fill="auto"/>
            <w:noWrap/>
            <w:vAlign w:val="center"/>
          </w:tcPr>
          <w:p>
            <w:pPr>
              <w:widowControl/>
              <w:jc w:val="center"/>
              <w:rPr>
                <w:rFonts w:ascii="宋体" w:hAnsi="宋体"/>
                <w:kern w:val="0"/>
                <w:sz w:val="18"/>
                <w:szCs w:val="18"/>
              </w:rPr>
            </w:pPr>
          </w:p>
        </w:tc>
        <w:tc>
          <w:tcPr>
            <w:tcW w:w="2483" w:type="dxa"/>
            <w:shd w:val="clear" w:color="auto" w:fill="auto"/>
            <w:noWrap/>
            <w:vAlign w:val="center"/>
          </w:tcPr>
          <w:p>
            <w:pPr>
              <w:widowControl/>
              <w:jc w:val="center"/>
              <w:rPr>
                <w:rFonts w:ascii="宋体" w:hAnsi="宋体"/>
                <w:kern w:val="0"/>
                <w:sz w:val="18"/>
                <w:szCs w:val="18"/>
              </w:rPr>
            </w:pPr>
          </w:p>
        </w:tc>
        <w:tc>
          <w:tcPr>
            <w:tcW w:w="993" w:type="dxa"/>
            <w:shd w:val="clear" w:color="auto" w:fill="auto"/>
            <w:noWrap/>
            <w:vAlign w:val="center"/>
          </w:tcPr>
          <w:p>
            <w:pPr>
              <w:widowControl/>
              <w:jc w:val="center"/>
              <w:rPr>
                <w:rFonts w:ascii="宋体" w:hAnsi="宋体"/>
                <w:kern w:val="0"/>
                <w:sz w:val="18"/>
                <w:szCs w:val="18"/>
              </w:rPr>
            </w:pPr>
          </w:p>
        </w:tc>
        <w:tc>
          <w:tcPr>
            <w:tcW w:w="1134" w:type="dxa"/>
            <w:vAlign w:val="center"/>
          </w:tcPr>
          <w:p>
            <w:pPr>
              <w:widowControl/>
              <w:jc w:val="center"/>
              <w:rPr>
                <w:rFonts w:ascii="宋体" w:hAnsi="宋体"/>
                <w:kern w:val="0"/>
                <w:sz w:val="18"/>
                <w:szCs w:val="18"/>
              </w:rPr>
            </w:pPr>
          </w:p>
        </w:tc>
        <w:tc>
          <w:tcPr>
            <w:tcW w:w="992" w:type="dxa"/>
            <w:shd w:val="clear" w:color="auto" w:fill="auto"/>
            <w:noWrap/>
            <w:vAlign w:val="center"/>
          </w:tcPr>
          <w:p>
            <w:pPr>
              <w:widowControl/>
              <w:jc w:val="center"/>
              <w:rPr>
                <w:rFonts w:ascii="宋体" w:hAns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jc w:val="center"/>
        </w:trPr>
        <w:tc>
          <w:tcPr>
            <w:tcW w:w="654" w:type="dxa"/>
            <w:shd w:val="clear" w:color="auto" w:fill="auto"/>
            <w:noWrap/>
            <w:vAlign w:val="center"/>
          </w:tcPr>
          <w:p>
            <w:pPr>
              <w:widowControl/>
              <w:jc w:val="center"/>
              <w:rPr>
                <w:rFonts w:ascii="宋体" w:hAnsi="宋体"/>
                <w:kern w:val="0"/>
                <w:sz w:val="18"/>
                <w:szCs w:val="18"/>
              </w:rPr>
            </w:pPr>
          </w:p>
        </w:tc>
        <w:tc>
          <w:tcPr>
            <w:tcW w:w="709" w:type="dxa"/>
            <w:vAlign w:val="center"/>
          </w:tcPr>
          <w:p>
            <w:pPr>
              <w:widowControl/>
              <w:jc w:val="center"/>
              <w:rPr>
                <w:rFonts w:ascii="宋体" w:hAnsi="宋体"/>
                <w:kern w:val="0"/>
                <w:sz w:val="18"/>
                <w:szCs w:val="18"/>
              </w:rPr>
            </w:pPr>
          </w:p>
        </w:tc>
        <w:tc>
          <w:tcPr>
            <w:tcW w:w="992" w:type="dxa"/>
            <w:vAlign w:val="center"/>
          </w:tcPr>
          <w:p>
            <w:pPr>
              <w:widowControl/>
              <w:jc w:val="center"/>
              <w:rPr>
                <w:rFonts w:ascii="宋体" w:hAnsi="宋体"/>
                <w:kern w:val="0"/>
                <w:sz w:val="18"/>
                <w:szCs w:val="18"/>
              </w:rPr>
            </w:pPr>
          </w:p>
        </w:tc>
        <w:tc>
          <w:tcPr>
            <w:tcW w:w="1807" w:type="dxa"/>
            <w:vAlign w:val="center"/>
          </w:tcPr>
          <w:p>
            <w:pPr>
              <w:widowControl/>
              <w:jc w:val="center"/>
              <w:rPr>
                <w:rFonts w:ascii="宋体" w:hAnsi="宋体"/>
                <w:kern w:val="0"/>
                <w:sz w:val="18"/>
                <w:szCs w:val="18"/>
              </w:rPr>
            </w:pPr>
          </w:p>
        </w:tc>
        <w:tc>
          <w:tcPr>
            <w:tcW w:w="1054" w:type="dxa"/>
            <w:vAlign w:val="center"/>
          </w:tcPr>
          <w:p>
            <w:pPr>
              <w:widowControl/>
              <w:jc w:val="center"/>
              <w:rPr>
                <w:rFonts w:ascii="宋体" w:hAnsi="宋体"/>
                <w:kern w:val="0"/>
                <w:sz w:val="18"/>
                <w:szCs w:val="18"/>
              </w:rPr>
            </w:pPr>
          </w:p>
        </w:tc>
        <w:tc>
          <w:tcPr>
            <w:tcW w:w="1069" w:type="dxa"/>
            <w:vAlign w:val="center"/>
          </w:tcPr>
          <w:p>
            <w:pPr>
              <w:widowControl/>
              <w:jc w:val="center"/>
              <w:rPr>
                <w:rFonts w:ascii="宋体" w:hAnsi="宋体"/>
                <w:kern w:val="0"/>
                <w:sz w:val="18"/>
                <w:szCs w:val="18"/>
              </w:rPr>
            </w:pPr>
          </w:p>
        </w:tc>
        <w:tc>
          <w:tcPr>
            <w:tcW w:w="2268" w:type="dxa"/>
            <w:shd w:val="clear" w:color="auto" w:fill="auto"/>
            <w:noWrap/>
            <w:vAlign w:val="center"/>
          </w:tcPr>
          <w:p>
            <w:pPr>
              <w:widowControl/>
              <w:jc w:val="center"/>
              <w:rPr>
                <w:rFonts w:ascii="宋体" w:hAnsi="宋体"/>
                <w:kern w:val="0"/>
                <w:sz w:val="18"/>
                <w:szCs w:val="18"/>
              </w:rPr>
            </w:pPr>
          </w:p>
        </w:tc>
        <w:tc>
          <w:tcPr>
            <w:tcW w:w="2483" w:type="dxa"/>
            <w:shd w:val="clear" w:color="auto" w:fill="auto"/>
            <w:noWrap/>
            <w:vAlign w:val="center"/>
          </w:tcPr>
          <w:p>
            <w:pPr>
              <w:widowControl/>
              <w:jc w:val="center"/>
              <w:rPr>
                <w:rFonts w:ascii="宋体" w:hAnsi="宋体"/>
                <w:kern w:val="0"/>
                <w:sz w:val="18"/>
                <w:szCs w:val="18"/>
              </w:rPr>
            </w:pPr>
          </w:p>
        </w:tc>
        <w:tc>
          <w:tcPr>
            <w:tcW w:w="993" w:type="dxa"/>
            <w:shd w:val="clear" w:color="auto" w:fill="auto"/>
            <w:noWrap/>
            <w:vAlign w:val="center"/>
          </w:tcPr>
          <w:p>
            <w:pPr>
              <w:widowControl/>
              <w:jc w:val="center"/>
              <w:rPr>
                <w:rFonts w:ascii="宋体" w:hAnsi="宋体"/>
                <w:kern w:val="0"/>
                <w:sz w:val="18"/>
                <w:szCs w:val="18"/>
              </w:rPr>
            </w:pPr>
          </w:p>
        </w:tc>
        <w:tc>
          <w:tcPr>
            <w:tcW w:w="1134" w:type="dxa"/>
            <w:vAlign w:val="center"/>
          </w:tcPr>
          <w:p>
            <w:pPr>
              <w:widowControl/>
              <w:jc w:val="center"/>
              <w:rPr>
                <w:rFonts w:ascii="宋体" w:hAnsi="宋体"/>
                <w:kern w:val="0"/>
                <w:sz w:val="18"/>
                <w:szCs w:val="18"/>
              </w:rPr>
            </w:pPr>
          </w:p>
        </w:tc>
        <w:tc>
          <w:tcPr>
            <w:tcW w:w="992" w:type="dxa"/>
            <w:shd w:val="clear" w:color="auto" w:fill="auto"/>
            <w:noWrap/>
            <w:vAlign w:val="center"/>
          </w:tcPr>
          <w:p>
            <w:pPr>
              <w:widowControl/>
              <w:jc w:val="center"/>
              <w:rPr>
                <w:rFonts w:ascii="宋体" w:hAns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jc w:val="center"/>
        </w:trPr>
        <w:tc>
          <w:tcPr>
            <w:tcW w:w="654" w:type="dxa"/>
            <w:shd w:val="clear" w:color="auto" w:fill="auto"/>
            <w:noWrap/>
            <w:vAlign w:val="center"/>
          </w:tcPr>
          <w:p>
            <w:pPr>
              <w:widowControl/>
              <w:jc w:val="center"/>
              <w:rPr>
                <w:rFonts w:ascii="宋体" w:hAnsi="宋体"/>
                <w:kern w:val="0"/>
                <w:sz w:val="18"/>
                <w:szCs w:val="18"/>
              </w:rPr>
            </w:pPr>
          </w:p>
        </w:tc>
        <w:tc>
          <w:tcPr>
            <w:tcW w:w="709" w:type="dxa"/>
            <w:vAlign w:val="center"/>
          </w:tcPr>
          <w:p>
            <w:pPr>
              <w:widowControl/>
              <w:jc w:val="center"/>
              <w:rPr>
                <w:rFonts w:ascii="宋体" w:hAnsi="宋体"/>
                <w:kern w:val="0"/>
                <w:sz w:val="18"/>
                <w:szCs w:val="18"/>
              </w:rPr>
            </w:pPr>
          </w:p>
        </w:tc>
        <w:tc>
          <w:tcPr>
            <w:tcW w:w="992" w:type="dxa"/>
            <w:vAlign w:val="center"/>
          </w:tcPr>
          <w:p>
            <w:pPr>
              <w:widowControl/>
              <w:jc w:val="center"/>
              <w:rPr>
                <w:rFonts w:ascii="宋体" w:hAnsi="宋体"/>
                <w:kern w:val="0"/>
                <w:sz w:val="18"/>
                <w:szCs w:val="18"/>
              </w:rPr>
            </w:pPr>
          </w:p>
        </w:tc>
        <w:tc>
          <w:tcPr>
            <w:tcW w:w="1807" w:type="dxa"/>
            <w:vAlign w:val="center"/>
          </w:tcPr>
          <w:p>
            <w:pPr>
              <w:widowControl/>
              <w:jc w:val="center"/>
              <w:rPr>
                <w:rFonts w:ascii="宋体" w:hAnsi="宋体"/>
                <w:kern w:val="0"/>
                <w:sz w:val="18"/>
                <w:szCs w:val="18"/>
              </w:rPr>
            </w:pPr>
          </w:p>
        </w:tc>
        <w:tc>
          <w:tcPr>
            <w:tcW w:w="1054" w:type="dxa"/>
            <w:vAlign w:val="center"/>
          </w:tcPr>
          <w:p>
            <w:pPr>
              <w:widowControl/>
              <w:jc w:val="center"/>
              <w:rPr>
                <w:rFonts w:ascii="宋体" w:hAnsi="宋体"/>
                <w:kern w:val="0"/>
                <w:sz w:val="18"/>
                <w:szCs w:val="18"/>
              </w:rPr>
            </w:pPr>
          </w:p>
        </w:tc>
        <w:tc>
          <w:tcPr>
            <w:tcW w:w="1069" w:type="dxa"/>
            <w:vAlign w:val="center"/>
          </w:tcPr>
          <w:p>
            <w:pPr>
              <w:widowControl/>
              <w:jc w:val="center"/>
              <w:rPr>
                <w:rFonts w:ascii="宋体" w:hAnsi="宋体"/>
                <w:kern w:val="0"/>
                <w:sz w:val="18"/>
                <w:szCs w:val="18"/>
              </w:rPr>
            </w:pPr>
          </w:p>
        </w:tc>
        <w:tc>
          <w:tcPr>
            <w:tcW w:w="2268" w:type="dxa"/>
            <w:shd w:val="clear" w:color="auto" w:fill="auto"/>
            <w:noWrap/>
            <w:vAlign w:val="center"/>
          </w:tcPr>
          <w:p>
            <w:pPr>
              <w:widowControl/>
              <w:jc w:val="center"/>
              <w:rPr>
                <w:rFonts w:ascii="宋体" w:hAnsi="宋体"/>
                <w:kern w:val="0"/>
                <w:sz w:val="18"/>
                <w:szCs w:val="18"/>
              </w:rPr>
            </w:pPr>
          </w:p>
        </w:tc>
        <w:tc>
          <w:tcPr>
            <w:tcW w:w="2483" w:type="dxa"/>
            <w:shd w:val="clear" w:color="auto" w:fill="auto"/>
            <w:noWrap/>
            <w:vAlign w:val="center"/>
          </w:tcPr>
          <w:p>
            <w:pPr>
              <w:widowControl/>
              <w:jc w:val="center"/>
              <w:rPr>
                <w:rFonts w:ascii="宋体" w:hAnsi="宋体"/>
                <w:kern w:val="0"/>
                <w:sz w:val="18"/>
                <w:szCs w:val="18"/>
              </w:rPr>
            </w:pPr>
          </w:p>
        </w:tc>
        <w:tc>
          <w:tcPr>
            <w:tcW w:w="993" w:type="dxa"/>
            <w:shd w:val="clear" w:color="auto" w:fill="auto"/>
            <w:noWrap/>
            <w:vAlign w:val="center"/>
          </w:tcPr>
          <w:p>
            <w:pPr>
              <w:widowControl/>
              <w:jc w:val="center"/>
              <w:rPr>
                <w:rFonts w:ascii="宋体" w:hAnsi="宋体"/>
                <w:kern w:val="0"/>
                <w:sz w:val="18"/>
                <w:szCs w:val="18"/>
              </w:rPr>
            </w:pPr>
          </w:p>
        </w:tc>
        <w:tc>
          <w:tcPr>
            <w:tcW w:w="1134" w:type="dxa"/>
            <w:vAlign w:val="center"/>
          </w:tcPr>
          <w:p>
            <w:pPr>
              <w:widowControl/>
              <w:jc w:val="center"/>
              <w:rPr>
                <w:rFonts w:ascii="宋体" w:hAnsi="宋体"/>
                <w:kern w:val="0"/>
                <w:sz w:val="18"/>
                <w:szCs w:val="18"/>
              </w:rPr>
            </w:pPr>
          </w:p>
        </w:tc>
        <w:tc>
          <w:tcPr>
            <w:tcW w:w="992" w:type="dxa"/>
            <w:shd w:val="clear" w:color="auto" w:fill="auto"/>
            <w:noWrap/>
            <w:vAlign w:val="center"/>
          </w:tcPr>
          <w:p>
            <w:pPr>
              <w:widowControl/>
              <w:jc w:val="center"/>
              <w:rPr>
                <w:rFonts w:ascii="宋体" w:hAns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jc w:val="center"/>
        </w:trPr>
        <w:tc>
          <w:tcPr>
            <w:tcW w:w="654" w:type="dxa"/>
            <w:shd w:val="clear" w:color="auto" w:fill="auto"/>
            <w:noWrap/>
            <w:vAlign w:val="center"/>
          </w:tcPr>
          <w:p>
            <w:pPr>
              <w:widowControl/>
              <w:jc w:val="center"/>
              <w:rPr>
                <w:rFonts w:ascii="宋体" w:hAnsi="宋体"/>
                <w:kern w:val="0"/>
                <w:sz w:val="18"/>
                <w:szCs w:val="18"/>
              </w:rPr>
            </w:pPr>
          </w:p>
        </w:tc>
        <w:tc>
          <w:tcPr>
            <w:tcW w:w="709" w:type="dxa"/>
            <w:vAlign w:val="center"/>
          </w:tcPr>
          <w:p>
            <w:pPr>
              <w:widowControl/>
              <w:jc w:val="center"/>
              <w:rPr>
                <w:rFonts w:ascii="宋体" w:hAnsi="宋体"/>
                <w:kern w:val="0"/>
                <w:sz w:val="18"/>
                <w:szCs w:val="18"/>
              </w:rPr>
            </w:pPr>
          </w:p>
        </w:tc>
        <w:tc>
          <w:tcPr>
            <w:tcW w:w="992" w:type="dxa"/>
            <w:vAlign w:val="center"/>
          </w:tcPr>
          <w:p>
            <w:pPr>
              <w:widowControl/>
              <w:jc w:val="center"/>
              <w:rPr>
                <w:rFonts w:ascii="宋体" w:hAnsi="宋体"/>
                <w:kern w:val="0"/>
                <w:sz w:val="18"/>
                <w:szCs w:val="18"/>
              </w:rPr>
            </w:pPr>
          </w:p>
        </w:tc>
        <w:tc>
          <w:tcPr>
            <w:tcW w:w="1807" w:type="dxa"/>
            <w:vAlign w:val="center"/>
          </w:tcPr>
          <w:p>
            <w:pPr>
              <w:widowControl/>
              <w:jc w:val="center"/>
              <w:rPr>
                <w:rFonts w:ascii="宋体" w:hAnsi="宋体"/>
                <w:kern w:val="0"/>
                <w:sz w:val="18"/>
                <w:szCs w:val="18"/>
              </w:rPr>
            </w:pPr>
          </w:p>
        </w:tc>
        <w:tc>
          <w:tcPr>
            <w:tcW w:w="1054" w:type="dxa"/>
            <w:vAlign w:val="center"/>
          </w:tcPr>
          <w:p>
            <w:pPr>
              <w:widowControl/>
              <w:jc w:val="center"/>
              <w:rPr>
                <w:rFonts w:ascii="宋体" w:hAnsi="宋体"/>
                <w:kern w:val="0"/>
                <w:sz w:val="18"/>
                <w:szCs w:val="18"/>
              </w:rPr>
            </w:pPr>
          </w:p>
        </w:tc>
        <w:tc>
          <w:tcPr>
            <w:tcW w:w="1069" w:type="dxa"/>
            <w:vAlign w:val="center"/>
          </w:tcPr>
          <w:p>
            <w:pPr>
              <w:widowControl/>
              <w:jc w:val="center"/>
              <w:rPr>
                <w:rFonts w:ascii="宋体" w:hAnsi="宋体"/>
                <w:kern w:val="0"/>
                <w:sz w:val="18"/>
                <w:szCs w:val="18"/>
              </w:rPr>
            </w:pPr>
          </w:p>
        </w:tc>
        <w:tc>
          <w:tcPr>
            <w:tcW w:w="2268" w:type="dxa"/>
            <w:shd w:val="clear" w:color="auto" w:fill="auto"/>
            <w:noWrap/>
            <w:vAlign w:val="center"/>
          </w:tcPr>
          <w:p>
            <w:pPr>
              <w:widowControl/>
              <w:jc w:val="center"/>
              <w:rPr>
                <w:rFonts w:ascii="宋体" w:hAnsi="宋体"/>
                <w:kern w:val="0"/>
                <w:sz w:val="18"/>
                <w:szCs w:val="18"/>
              </w:rPr>
            </w:pPr>
          </w:p>
        </w:tc>
        <w:tc>
          <w:tcPr>
            <w:tcW w:w="2483" w:type="dxa"/>
            <w:shd w:val="clear" w:color="auto" w:fill="auto"/>
            <w:noWrap/>
            <w:vAlign w:val="center"/>
          </w:tcPr>
          <w:p>
            <w:pPr>
              <w:widowControl/>
              <w:jc w:val="center"/>
              <w:rPr>
                <w:rFonts w:ascii="宋体" w:hAnsi="宋体"/>
                <w:kern w:val="0"/>
                <w:sz w:val="18"/>
                <w:szCs w:val="18"/>
              </w:rPr>
            </w:pPr>
          </w:p>
        </w:tc>
        <w:tc>
          <w:tcPr>
            <w:tcW w:w="993" w:type="dxa"/>
            <w:shd w:val="clear" w:color="auto" w:fill="auto"/>
            <w:noWrap/>
            <w:vAlign w:val="center"/>
          </w:tcPr>
          <w:p>
            <w:pPr>
              <w:widowControl/>
              <w:jc w:val="center"/>
              <w:rPr>
                <w:rFonts w:ascii="宋体" w:hAnsi="宋体"/>
                <w:kern w:val="0"/>
                <w:sz w:val="18"/>
                <w:szCs w:val="18"/>
              </w:rPr>
            </w:pPr>
          </w:p>
        </w:tc>
        <w:tc>
          <w:tcPr>
            <w:tcW w:w="1134" w:type="dxa"/>
            <w:vAlign w:val="center"/>
          </w:tcPr>
          <w:p>
            <w:pPr>
              <w:widowControl/>
              <w:jc w:val="center"/>
              <w:rPr>
                <w:rFonts w:ascii="宋体" w:hAnsi="宋体"/>
                <w:kern w:val="0"/>
                <w:sz w:val="18"/>
                <w:szCs w:val="18"/>
              </w:rPr>
            </w:pPr>
          </w:p>
        </w:tc>
        <w:tc>
          <w:tcPr>
            <w:tcW w:w="992" w:type="dxa"/>
            <w:shd w:val="clear" w:color="auto" w:fill="auto"/>
            <w:noWrap/>
            <w:vAlign w:val="center"/>
          </w:tcPr>
          <w:p>
            <w:pPr>
              <w:widowControl/>
              <w:jc w:val="center"/>
              <w:rPr>
                <w:rFonts w:ascii="宋体" w:hAns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jc w:val="center"/>
        </w:trPr>
        <w:tc>
          <w:tcPr>
            <w:tcW w:w="654" w:type="dxa"/>
            <w:shd w:val="clear" w:color="auto" w:fill="auto"/>
            <w:noWrap/>
            <w:vAlign w:val="center"/>
          </w:tcPr>
          <w:p>
            <w:pPr>
              <w:widowControl/>
              <w:jc w:val="center"/>
              <w:rPr>
                <w:rFonts w:ascii="宋体" w:hAnsi="宋体"/>
                <w:kern w:val="0"/>
                <w:sz w:val="18"/>
                <w:szCs w:val="18"/>
              </w:rPr>
            </w:pPr>
          </w:p>
        </w:tc>
        <w:tc>
          <w:tcPr>
            <w:tcW w:w="709" w:type="dxa"/>
            <w:vAlign w:val="center"/>
          </w:tcPr>
          <w:p>
            <w:pPr>
              <w:widowControl/>
              <w:jc w:val="center"/>
              <w:rPr>
                <w:rFonts w:ascii="宋体" w:hAnsi="宋体"/>
                <w:kern w:val="0"/>
                <w:sz w:val="18"/>
                <w:szCs w:val="18"/>
              </w:rPr>
            </w:pPr>
          </w:p>
        </w:tc>
        <w:tc>
          <w:tcPr>
            <w:tcW w:w="992" w:type="dxa"/>
            <w:vAlign w:val="center"/>
          </w:tcPr>
          <w:p>
            <w:pPr>
              <w:widowControl/>
              <w:jc w:val="center"/>
              <w:rPr>
                <w:rFonts w:ascii="宋体" w:hAnsi="宋体"/>
                <w:kern w:val="0"/>
                <w:sz w:val="18"/>
                <w:szCs w:val="18"/>
              </w:rPr>
            </w:pPr>
          </w:p>
        </w:tc>
        <w:tc>
          <w:tcPr>
            <w:tcW w:w="1807" w:type="dxa"/>
            <w:vAlign w:val="center"/>
          </w:tcPr>
          <w:p>
            <w:pPr>
              <w:widowControl/>
              <w:jc w:val="center"/>
              <w:rPr>
                <w:rFonts w:ascii="宋体" w:hAnsi="宋体"/>
                <w:kern w:val="0"/>
                <w:sz w:val="18"/>
                <w:szCs w:val="18"/>
              </w:rPr>
            </w:pPr>
          </w:p>
        </w:tc>
        <w:tc>
          <w:tcPr>
            <w:tcW w:w="1054" w:type="dxa"/>
            <w:vAlign w:val="center"/>
          </w:tcPr>
          <w:p>
            <w:pPr>
              <w:widowControl/>
              <w:jc w:val="center"/>
              <w:rPr>
                <w:rFonts w:ascii="宋体" w:hAnsi="宋体"/>
                <w:kern w:val="0"/>
                <w:sz w:val="18"/>
                <w:szCs w:val="18"/>
              </w:rPr>
            </w:pPr>
          </w:p>
        </w:tc>
        <w:tc>
          <w:tcPr>
            <w:tcW w:w="1069" w:type="dxa"/>
            <w:vAlign w:val="center"/>
          </w:tcPr>
          <w:p>
            <w:pPr>
              <w:widowControl/>
              <w:jc w:val="center"/>
              <w:rPr>
                <w:rFonts w:ascii="宋体" w:hAnsi="宋体"/>
                <w:kern w:val="0"/>
                <w:sz w:val="18"/>
                <w:szCs w:val="18"/>
              </w:rPr>
            </w:pPr>
          </w:p>
        </w:tc>
        <w:tc>
          <w:tcPr>
            <w:tcW w:w="2268" w:type="dxa"/>
            <w:shd w:val="clear" w:color="auto" w:fill="auto"/>
            <w:noWrap/>
            <w:vAlign w:val="center"/>
          </w:tcPr>
          <w:p>
            <w:pPr>
              <w:widowControl/>
              <w:jc w:val="center"/>
              <w:rPr>
                <w:rFonts w:ascii="宋体" w:hAnsi="宋体"/>
                <w:kern w:val="0"/>
                <w:sz w:val="18"/>
                <w:szCs w:val="18"/>
              </w:rPr>
            </w:pPr>
          </w:p>
        </w:tc>
        <w:tc>
          <w:tcPr>
            <w:tcW w:w="2483" w:type="dxa"/>
            <w:shd w:val="clear" w:color="auto" w:fill="auto"/>
            <w:noWrap/>
            <w:vAlign w:val="center"/>
          </w:tcPr>
          <w:p>
            <w:pPr>
              <w:widowControl/>
              <w:jc w:val="center"/>
              <w:rPr>
                <w:rFonts w:ascii="宋体" w:hAnsi="宋体"/>
                <w:kern w:val="0"/>
                <w:sz w:val="18"/>
                <w:szCs w:val="18"/>
              </w:rPr>
            </w:pPr>
          </w:p>
        </w:tc>
        <w:tc>
          <w:tcPr>
            <w:tcW w:w="993" w:type="dxa"/>
            <w:shd w:val="clear" w:color="auto" w:fill="auto"/>
            <w:noWrap/>
            <w:vAlign w:val="center"/>
          </w:tcPr>
          <w:p>
            <w:pPr>
              <w:widowControl/>
              <w:jc w:val="center"/>
              <w:rPr>
                <w:rFonts w:ascii="宋体" w:hAnsi="宋体"/>
                <w:kern w:val="0"/>
                <w:sz w:val="18"/>
                <w:szCs w:val="18"/>
              </w:rPr>
            </w:pPr>
          </w:p>
        </w:tc>
        <w:tc>
          <w:tcPr>
            <w:tcW w:w="1134" w:type="dxa"/>
            <w:vAlign w:val="center"/>
          </w:tcPr>
          <w:p>
            <w:pPr>
              <w:widowControl/>
              <w:jc w:val="center"/>
              <w:rPr>
                <w:rFonts w:ascii="宋体" w:hAnsi="宋体"/>
                <w:kern w:val="0"/>
                <w:sz w:val="18"/>
                <w:szCs w:val="18"/>
              </w:rPr>
            </w:pPr>
          </w:p>
        </w:tc>
        <w:tc>
          <w:tcPr>
            <w:tcW w:w="992" w:type="dxa"/>
            <w:shd w:val="clear" w:color="auto" w:fill="auto"/>
            <w:noWrap/>
            <w:vAlign w:val="center"/>
          </w:tcPr>
          <w:p>
            <w:pPr>
              <w:widowControl/>
              <w:jc w:val="center"/>
              <w:rPr>
                <w:rFonts w:ascii="宋体" w:hAns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jc w:val="center"/>
        </w:trPr>
        <w:tc>
          <w:tcPr>
            <w:tcW w:w="654" w:type="dxa"/>
            <w:shd w:val="clear" w:color="auto" w:fill="auto"/>
            <w:noWrap/>
            <w:vAlign w:val="center"/>
          </w:tcPr>
          <w:p>
            <w:pPr>
              <w:widowControl/>
              <w:jc w:val="center"/>
              <w:rPr>
                <w:rFonts w:ascii="宋体" w:hAnsi="宋体"/>
                <w:kern w:val="0"/>
                <w:sz w:val="18"/>
                <w:szCs w:val="18"/>
              </w:rPr>
            </w:pPr>
          </w:p>
        </w:tc>
        <w:tc>
          <w:tcPr>
            <w:tcW w:w="709" w:type="dxa"/>
            <w:vAlign w:val="center"/>
          </w:tcPr>
          <w:p>
            <w:pPr>
              <w:widowControl/>
              <w:jc w:val="center"/>
              <w:rPr>
                <w:rFonts w:ascii="宋体" w:hAnsi="宋体"/>
                <w:kern w:val="0"/>
                <w:sz w:val="18"/>
                <w:szCs w:val="18"/>
              </w:rPr>
            </w:pPr>
          </w:p>
        </w:tc>
        <w:tc>
          <w:tcPr>
            <w:tcW w:w="992" w:type="dxa"/>
            <w:vAlign w:val="center"/>
          </w:tcPr>
          <w:p>
            <w:pPr>
              <w:widowControl/>
              <w:jc w:val="center"/>
              <w:rPr>
                <w:rFonts w:ascii="宋体" w:hAnsi="宋体"/>
                <w:kern w:val="0"/>
                <w:sz w:val="18"/>
                <w:szCs w:val="18"/>
              </w:rPr>
            </w:pPr>
          </w:p>
        </w:tc>
        <w:tc>
          <w:tcPr>
            <w:tcW w:w="1807" w:type="dxa"/>
            <w:vAlign w:val="center"/>
          </w:tcPr>
          <w:p>
            <w:pPr>
              <w:widowControl/>
              <w:jc w:val="center"/>
              <w:rPr>
                <w:rFonts w:ascii="宋体" w:hAnsi="宋体"/>
                <w:kern w:val="0"/>
                <w:sz w:val="18"/>
                <w:szCs w:val="18"/>
              </w:rPr>
            </w:pPr>
          </w:p>
        </w:tc>
        <w:tc>
          <w:tcPr>
            <w:tcW w:w="1054" w:type="dxa"/>
            <w:vAlign w:val="center"/>
          </w:tcPr>
          <w:p>
            <w:pPr>
              <w:widowControl/>
              <w:jc w:val="center"/>
              <w:rPr>
                <w:rFonts w:ascii="宋体" w:hAnsi="宋体"/>
                <w:kern w:val="0"/>
                <w:sz w:val="18"/>
                <w:szCs w:val="18"/>
              </w:rPr>
            </w:pPr>
          </w:p>
        </w:tc>
        <w:tc>
          <w:tcPr>
            <w:tcW w:w="1069" w:type="dxa"/>
            <w:vAlign w:val="center"/>
          </w:tcPr>
          <w:p>
            <w:pPr>
              <w:widowControl/>
              <w:jc w:val="center"/>
              <w:rPr>
                <w:rFonts w:ascii="宋体" w:hAnsi="宋体"/>
                <w:kern w:val="0"/>
                <w:sz w:val="18"/>
                <w:szCs w:val="18"/>
              </w:rPr>
            </w:pPr>
          </w:p>
        </w:tc>
        <w:tc>
          <w:tcPr>
            <w:tcW w:w="2268" w:type="dxa"/>
            <w:shd w:val="clear" w:color="auto" w:fill="auto"/>
            <w:noWrap/>
            <w:vAlign w:val="center"/>
          </w:tcPr>
          <w:p>
            <w:pPr>
              <w:widowControl/>
              <w:jc w:val="center"/>
              <w:rPr>
                <w:rFonts w:ascii="宋体" w:hAnsi="宋体"/>
                <w:kern w:val="0"/>
                <w:sz w:val="18"/>
                <w:szCs w:val="18"/>
              </w:rPr>
            </w:pPr>
          </w:p>
        </w:tc>
        <w:tc>
          <w:tcPr>
            <w:tcW w:w="2483" w:type="dxa"/>
            <w:shd w:val="clear" w:color="auto" w:fill="auto"/>
            <w:noWrap/>
            <w:vAlign w:val="center"/>
          </w:tcPr>
          <w:p>
            <w:pPr>
              <w:widowControl/>
              <w:jc w:val="center"/>
              <w:rPr>
                <w:rFonts w:ascii="宋体" w:hAnsi="宋体"/>
                <w:kern w:val="0"/>
                <w:sz w:val="18"/>
                <w:szCs w:val="18"/>
              </w:rPr>
            </w:pPr>
          </w:p>
        </w:tc>
        <w:tc>
          <w:tcPr>
            <w:tcW w:w="993" w:type="dxa"/>
            <w:shd w:val="clear" w:color="auto" w:fill="auto"/>
            <w:noWrap/>
            <w:vAlign w:val="center"/>
          </w:tcPr>
          <w:p>
            <w:pPr>
              <w:widowControl/>
              <w:jc w:val="center"/>
              <w:rPr>
                <w:rFonts w:ascii="宋体" w:hAnsi="宋体"/>
                <w:kern w:val="0"/>
                <w:sz w:val="18"/>
                <w:szCs w:val="18"/>
              </w:rPr>
            </w:pPr>
          </w:p>
        </w:tc>
        <w:tc>
          <w:tcPr>
            <w:tcW w:w="1134" w:type="dxa"/>
            <w:vAlign w:val="center"/>
          </w:tcPr>
          <w:p>
            <w:pPr>
              <w:widowControl/>
              <w:jc w:val="center"/>
              <w:rPr>
                <w:rFonts w:ascii="宋体" w:hAnsi="宋体"/>
                <w:kern w:val="0"/>
                <w:sz w:val="18"/>
                <w:szCs w:val="18"/>
              </w:rPr>
            </w:pPr>
          </w:p>
        </w:tc>
        <w:tc>
          <w:tcPr>
            <w:tcW w:w="992" w:type="dxa"/>
            <w:shd w:val="clear" w:color="auto" w:fill="auto"/>
            <w:noWrap/>
            <w:vAlign w:val="center"/>
          </w:tcPr>
          <w:p>
            <w:pPr>
              <w:widowControl/>
              <w:jc w:val="center"/>
              <w:rPr>
                <w:rFonts w:ascii="宋体" w:hAnsi="宋体"/>
                <w:kern w:val="0"/>
                <w:sz w:val="18"/>
                <w:szCs w:val="18"/>
              </w:rPr>
            </w:pPr>
          </w:p>
        </w:tc>
      </w:tr>
    </w:tbl>
    <w:p>
      <w:pPr>
        <w:snapToGrid w:val="0"/>
        <w:spacing w:after="156" w:afterLines="50"/>
        <w:ind w:right="480"/>
        <w:rPr>
          <w:rFonts w:asciiTheme="minorEastAsia" w:hAnsiTheme="minorEastAsia" w:eastAsiaTheme="minorEastAsia"/>
          <w:sz w:val="20"/>
          <w:szCs w:val="20"/>
        </w:rPr>
      </w:pPr>
      <w:r>
        <w:rPr>
          <w:rFonts w:hint="eastAsia" w:asciiTheme="minorEastAsia" w:hAnsiTheme="minorEastAsia" w:eastAsiaTheme="minorEastAsia"/>
          <w:sz w:val="20"/>
          <w:szCs w:val="20"/>
        </w:rPr>
        <w:t>注： 总分10分，“思想政治工作和表现”为老生奖助金评定的加分项，不适用于新生。如无相应版块内容，则该项不得分。成果获得期间限定为上一次考核材料提交截止日期至本次考核材料提交截止日期，不得重复使用。</w:t>
      </w:r>
    </w:p>
    <w:p>
      <w:pPr>
        <w:snapToGrid w:val="0"/>
        <w:spacing w:line="360" w:lineRule="auto"/>
        <w:ind w:right="482"/>
        <w:rPr>
          <w:rFonts w:asciiTheme="minorEastAsia" w:hAnsiTheme="minorEastAsia" w:eastAsiaTheme="minorEastAsia"/>
          <w:sz w:val="24"/>
        </w:rPr>
      </w:pPr>
      <w:r>
        <w:rPr>
          <w:rFonts w:hint="eastAsia" w:asciiTheme="minorEastAsia" w:hAnsiTheme="minorEastAsia" w:eastAsiaTheme="minorEastAsia"/>
          <w:sz w:val="24"/>
        </w:rPr>
        <w:t>附表2：</w:t>
      </w:r>
    </w:p>
    <w:p>
      <w:pPr>
        <w:snapToGrid w:val="0"/>
        <w:ind w:right="482" w:firstLine="403"/>
        <w:jc w:val="center"/>
        <w:rPr>
          <w:rFonts w:asciiTheme="minorEastAsia" w:hAnsiTheme="minorEastAsia" w:eastAsiaTheme="minorEastAsia"/>
          <w:b/>
          <w:sz w:val="44"/>
          <w:szCs w:val="44"/>
        </w:rPr>
      </w:pPr>
      <w:r>
        <w:rPr>
          <w:rFonts w:hint="eastAsia" w:asciiTheme="minorEastAsia" w:hAnsiTheme="minorEastAsia" w:eastAsiaTheme="minorEastAsia"/>
          <w:b/>
          <w:sz w:val="44"/>
          <w:szCs w:val="44"/>
        </w:rPr>
        <w:t>思想政治工作和表现测评标准</w:t>
      </w:r>
    </w:p>
    <w:p>
      <w:pPr>
        <w:snapToGrid w:val="0"/>
        <w:ind w:right="482" w:firstLine="403"/>
        <w:jc w:val="center"/>
        <w:rPr>
          <w:rFonts w:asciiTheme="minorEastAsia" w:hAnsiTheme="minorEastAsia" w:eastAsiaTheme="minorEastAsia"/>
          <w:b/>
          <w:sz w:val="24"/>
          <w:szCs w:val="44"/>
        </w:rPr>
      </w:pPr>
      <w:r>
        <w:rPr>
          <w:rFonts w:hint="eastAsia" w:asciiTheme="minorEastAsia" w:hAnsiTheme="minorEastAsia" w:eastAsiaTheme="minorEastAsia"/>
          <w:b/>
          <w:sz w:val="24"/>
          <w:szCs w:val="44"/>
        </w:rPr>
        <w:t>（满分</w:t>
      </w:r>
      <w:r>
        <w:rPr>
          <w:rFonts w:asciiTheme="minorEastAsia" w:hAnsiTheme="minorEastAsia" w:eastAsiaTheme="minorEastAsia"/>
          <w:b/>
          <w:sz w:val="24"/>
          <w:szCs w:val="44"/>
        </w:rPr>
        <w:t>2</w:t>
      </w:r>
      <w:r>
        <w:rPr>
          <w:rFonts w:hint="eastAsia" w:asciiTheme="minorEastAsia" w:hAnsiTheme="minorEastAsia" w:eastAsiaTheme="minorEastAsia"/>
          <w:b/>
          <w:sz w:val="24"/>
          <w:szCs w:val="44"/>
        </w:rPr>
        <w:t>分，超出按</w:t>
      </w:r>
      <w:r>
        <w:rPr>
          <w:rFonts w:asciiTheme="minorEastAsia" w:hAnsiTheme="minorEastAsia" w:eastAsiaTheme="minorEastAsia"/>
          <w:b/>
          <w:sz w:val="24"/>
          <w:szCs w:val="44"/>
        </w:rPr>
        <w:t>2</w:t>
      </w:r>
      <w:r>
        <w:rPr>
          <w:rFonts w:hint="eastAsia" w:asciiTheme="minorEastAsia" w:hAnsiTheme="minorEastAsia" w:eastAsiaTheme="minorEastAsia"/>
          <w:b/>
          <w:sz w:val="24"/>
          <w:szCs w:val="44"/>
        </w:rPr>
        <w:t>分计算）</w:t>
      </w:r>
    </w:p>
    <w:p>
      <w:pPr>
        <w:snapToGrid w:val="0"/>
        <w:ind w:right="482" w:firstLine="403"/>
        <w:jc w:val="center"/>
        <w:rPr>
          <w:rFonts w:hint="eastAsia" w:asciiTheme="minorEastAsia" w:hAnsiTheme="minorEastAsia" w:eastAsiaTheme="minorEastAsia"/>
          <w:b/>
          <w:sz w:val="22"/>
          <w:szCs w:val="44"/>
        </w:rPr>
      </w:pPr>
    </w:p>
    <w:tbl>
      <w:tblPr>
        <w:tblStyle w:val="6"/>
        <w:tblW w:w="1250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6"/>
        <w:gridCol w:w="1102"/>
        <w:gridCol w:w="1134"/>
        <w:gridCol w:w="6269"/>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66" w:type="dxa"/>
            <w:vAlign w:val="center"/>
          </w:tcPr>
          <w:p>
            <w:pPr>
              <w:snapToGrid w:val="0"/>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一级指标</w:t>
            </w:r>
          </w:p>
        </w:tc>
        <w:tc>
          <w:tcPr>
            <w:tcW w:w="1102" w:type="dxa"/>
            <w:vAlign w:val="center"/>
          </w:tcPr>
          <w:p>
            <w:pPr>
              <w:snapToGrid w:val="0"/>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二级指标</w:t>
            </w:r>
          </w:p>
        </w:tc>
        <w:tc>
          <w:tcPr>
            <w:tcW w:w="1134" w:type="dxa"/>
            <w:vAlign w:val="center"/>
          </w:tcPr>
          <w:p>
            <w:pPr>
              <w:snapToGrid w:val="0"/>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三级指标</w:t>
            </w:r>
          </w:p>
        </w:tc>
        <w:tc>
          <w:tcPr>
            <w:tcW w:w="6269" w:type="dxa"/>
            <w:vAlign w:val="center"/>
          </w:tcPr>
          <w:p>
            <w:pPr>
              <w:snapToGrid w:val="0"/>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测评点</w:t>
            </w:r>
          </w:p>
        </w:tc>
        <w:tc>
          <w:tcPr>
            <w:tcW w:w="2835" w:type="dxa"/>
            <w:vAlign w:val="center"/>
          </w:tcPr>
          <w:p>
            <w:pPr>
              <w:snapToGrid w:val="0"/>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66" w:type="dxa"/>
            <w:vMerge w:val="restart"/>
            <w:vAlign w:val="center"/>
          </w:tcPr>
          <w:p>
            <w:pPr>
              <w:snapToGrid w:val="0"/>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德才兼备</w:t>
            </w:r>
          </w:p>
        </w:tc>
        <w:tc>
          <w:tcPr>
            <w:tcW w:w="1102" w:type="dxa"/>
            <w:vMerge w:val="restart"/>
            <w:vAlign w:val="center"/>
          </w:tcPr>
          <w:p>
            <w:pPr>
              <w:snapToGrid w:val="0"/>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理想信念</w:t>
            </w:r>
          </w:p>
        </w:tc>
        <w:tc>
          <w:tcPr>
            <w:tcW w:w="1134" w:type="dxa"/>
            <w:vMerge w:val="restart"/>
            <w:vAlign w:val="center"/>
          </w:tcPr>
          <w:p>
            <w:pPr>
              <w:snapToGrid w:val="0"/>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思想政治</w:t>
            </w:r>
          </w:p>
        </w:tc>
        <w:tc>
          <w:tcPr>
            <w:tcW w:w="6269" w:type="dxa"/>
            <w:vMerge w:val="restart"/>
            <w:vAlign w:val="center"/>
          </w:tcPr>
          <w:p>
            <w:pPr>
              <w:snapToGrid w:val="0"/>
              <w:jc w:val="left"/>
              <w:rPr>
                <w:rFonts w:asciiTheme="minorEastAsia" w:hAnsiTheme="minorEastAsia" w:eastAsiaTheme="minorEastAsia"/>
                <w:sz w:val="20"/>
                <w:szCs w:val="20"/>
              </w:rPr>
            </w:pPr>
            <w:r>
              <w:rPr>
                <w:rFonts w:hint="eastAsia" w:asciiTheme="minorEastAsia" w:hAnsiTheme="minorEastAsia" w:eastAsiaTheme="minorEastAsia"/>
                <w:sz w:val="20"/>
                <w:szCs w:val="20"/>
              </w:rPr>
              <w:t>积极参加马克思列宁主义、毛泽东思想及中央领导重要讲话精神研讨班、培训班，如学生处“马研班”、团委“青马班”、学院“青马学堂”等，表现优秀</w:t>
            </w:r>
          </w:p>
        </w:tc>
        <w:tc>
          <w:tcPr>
            <w:tcW w:w="2835" w:type="dxa"/>
            <w:vAlign w:val="center"/>
          </w:tcPr>
          <w:p>
            <w:pPr>
              <w:snapToGrid w:val="0"/>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院级优秀成员0.</w:t>
            </w:r>
            <w:r>
              <w:rPr>
                <w:rFonts w:asciiTheme="minorEastAsia" w:hAnsiTheme="minorEastAsia" w:eastAsiaTheme="minorEastAsia"/>
                <w:sz w:val="20"/>
                <w:szCs w:val="20"/>
              </w:rPr>
              <w:t>2</w:t>
            </w:r>
            <w:r>
              <w:rPr>
                <w:rFonts w:hint="eastAsia" w:asciiTheme="minorEastAsia" w:hAnsiTheme="minorEastAsia" w:eastAsiaTheme="minorEastAsia"/>
                <w:sz w:val="20"/>
                <w:szCs w:val="20"/>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66" w:type="dxa"/>
            <w:vMerge w:val="continue"/>
            <w:vAlign w:val="center"/>
          </w:tcPr>
          <w:p>
            <w:pPr>
              <w:snapToGrid w:val="0"/>
              <w:jc w:val="center"/>
              <w:rPr>
                <w:rFonts w:asciiTheme="minorEastAsia" w:hAnsiTheme="minorEastAsia" w:eastAsiaTheme="minorEastAsia"/>
                <w:sz w:val="20"/>
                <w:szCs w:val="20"/>
              </w:rPr>
            </w:pPr>
          </w:p>
        </w:tc>
        <w:tc>
          <w:tcPr>
            <w:tcW w:w="1102" w:type="dxa"/>
            <w:vMerge w:val="continue"/>
            <w:vAlign w:val="center"/>
          </w:tcPr>
          <w:p>
            <w:pPr>
              <w:snapToGrid w:val="0"/>
              <w:jc w:val="center"/>
              <w:rPr>
                <w:rFonts w:asciiTheme="minorEastAsia" w:hAnsiTheme="minorEastAsia" w:eastAsiaTheme="minorEastAsia"/>
                <w:sz w:val="20"/>
                <w:szCs w:val="20"/>
              </w:rPr>
            </w:pPr>
          </w:p>
        </w:tc>
        <w:tc>
          <w:tcPr>
            <w:tcW w:w="1134" w:type="dxa"/>
            <w:vMerge w:val="continue"/>
            <w:vAlign w:val="center"/>
          </w:tcPr>
          <w:p>
            <w:pPr>
              <w:snapToGrid w:val="0"/>
              <w:jc w:val="center"/>
              <w:rPr>
                <w:rFonts w:asciiTheme="minorEastAsia" w:hAnsiTheme="minorEastAsia" w:eastAsiaTheme="minorEastAsia"/>
                <w:sz w:val="20"/>
                <w:szCs w:val="20"/>
              </w:rPr>
            </w:pPr>
          </w:p>
        </w:tc>
        <w:tc>
          <w:tcPr>
            <w:tcW w:w="6269" w:type="dxa"/>
            <w:vMerge w:val="continue"/>
            <w:vAlign w:val="center"/>
          </w:tcPr>
          <w:p>
            <w:pPr>
              <w:snapToGrid w:val="0"/>
              <w:jc w:val="center"/>
              <w:rPr>
                <w:rFonts w:asciiTheme="minorEastAsia" w:hAnsiTheme="minorEastAsia" w:eastAsiaTheme="minorEastAsia"/>
                <w:sz w:val="20"/>
                <w:szCs w:val="20"/>
              </w:rPr>
            </w:pPr>
          </w:p>
        </w:tc>
        <w:tc>
          <w:tcPr>
            <w:tcW w:w="2835" w:type="dxa"/>
            <w:vAlign w:val="center"/>
          </w:tcPr>
          <w:p>
            <w:pPr>
              <w:snapToGrid w:val="0"/>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校级优秀成员</w:t>
            </w:r>
            <w:r>
              <w:rPr>
                <w:rFonts w:asciiTheme="minorEastAsia" w:hAnsiTheme="minorEastAsia" w:eastAsiaTheme="minorEastAsia"/>
                <w:sz w:val="20"/>
                <w:szCs w:val="20"/>
              </w:rPr>
              <w:t>0.75</w:t>
            </w:r>
            <w:r>
              <w:rPr>
                <w:rFonts w:hint="eastAsia" w:asciiTheme="minorEastAsia" w:hAnsiTheme="minorEastAsia" w:eastAsiaTheme="minorEastAsia"/>
                <w:sz w:val="20"/>
                <w:szCs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66" w:type="dxa"/>
            <w:vMerge w:val="restart"/>
            <w:vAlign w:val="center"/>
          </w:tcPr>
          <w:p>
            <w:pPr>
              <w:snapToGrid w:val="0"/>
              <w:spacing w:before="156"/>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领袖气质</w:t>
            </w:r>
          </w:p>
        </w:tc>
        <w:tc>
          <w:tcPr>
            <w:tcW w:w="1102" w:type="dxa"/>
            <w:vMerge w:val="restart"/>
            <w:vAlign w:val="center"/>
          </w:tcPr>
          <w:p>
            <w:pPr>
              <w:snapToGrid w:val="0"/>
              <w:spacing w:before="156"/>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追求卓越</w:t>
            </w:r>
          </w:p>
        </w:tc>
        <w:tc>
          <w:tcPr>
            <w:tcW w:w="1134" w:type="dxa"/>
            <w:vMerge w:val="restart"/>
            <w:vAlign w:val="center"/>
          </w:tcPr>
          <w:p>
            <w:pPr>
              <w:snapToGrid w:val="0"/>
              <w:spacing w:before="156"/>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荣誉获奖</w:t>
            </w:r>
          </w:p>
        </w:tc>
        <w:tc>
          <w:tcPr>
            <w:tcW w:w="6269" w:type="dxa"/>
            <w:vMerge w:val="restart"/>
            <w:vAlign w:val="center"/>
          </w:tcPr>
          <w:p>
            <w:pPr>
              <w:snapToGrid w:val="0"/>
              <w:jc w:val="left"/>
              <w:rPr>
                <w:rFonts w:asciiTheme="minorEastAsia" w:hAnsiTheme="minorEastAsia" w:eastAsiaTheme="minorEastAsia"/>
                <w:sz w:val="20"/>
                <w:szCs w:val="20"/>
              </w:rPr>
            </w:pPr>
            <w:r>
              <w:rPr>
                <w:rFonts w:hint="eastAsia" w:asciiTheme="minorEastAsia" w:hAnsiTheme="minorEastAsia" w:eastAsiaTheme="minorEastAsia"/>
                <w:sz w:val="20"/>
                <w:szCs w:val="20"/>
              </w:rPr>
              <w:t>获得“优秀学生干部”等优秀个人荣誉称号</w:t>
            </w:r>
          </w:p>
        </w:tc>
        <w:tc>
          <w:tcPr>
            <w:tcW w:w="2835" w:type="dxa"/>
            <w:vAlign w:val="center"/>
          </w:tcPr>
          <w:p>
            <w:pPr>
              <w:snapToGrid w:val="0"/>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省级</w:t>
            </w:r>
            <w:r>
              <w:rPr>
                <w:rFonts w:asciiTheme="minorEastAsia" w:hAnsiTheme="minorEastAsia" w:eastAsiaTheme="minorEastAsia"/>
                <w:sz w:val="20"/>
                <w:szCs w:val="20"/>
              </w:rPr>
              <w:t>1.5</w:t>
            </w:r>
            <w:r>
              <w:rPr>
                <w:rFonts w:hint="eastAsia" w:asciiTheme="minorEastAsia" w:hAnsiTheme="minorEastAsia" w:eastAsiaTheme="minorEastAsia"/>
                <w:sz w:val="20"/>
                <w:szCs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66" w:type="dxa"/>
            <w:vMerge w:val="continue"/>
            <w:vAlign w:val="center"/>
          </w:tcPr>
          <w:p>
            <w:pPr>
              <w:snapToGrid w:val="0"/>
              <w:spacing w:before="156"/>
              <w:jc w:val="center"/>
              <w:rPr>
                <w:rFonts w:asciiTheme="minorEastAsia" w:hAnsiTheme="minorEastAsia" w:eastAsiaTheme="minorEastAsia"/>
                <w:sz w:val="20"/>
                <w:szCs w:val="20"/>
              </w:rPr>
            </w:pPr>
          </w:p>
        </w:tc>
        <w:tc>
          <w:tcPr>
            <w:tcW w:w="1102" w:type="dxa"/>
            <w:vMerge w:val="continue"/>
            <w:vAlign w:val="center"/>
          </w:tcPr>
          <w:p>
            <w:pPr>
              <w:snapToGrid w:val="0"/>
              <w:spacing w:before="156"/>
              <w:jc w:val="center"/>
              <w:rPr>
                <w:rFonts w:asciiTheme="minorEastAsia" w:hAnsiTheme="minorEastAsia" w:eastAsiaTheme="minorEastAsia"/>
                <w:sz w:val="20"/>
                <w:szCs w:val="20"/>
              </w:rPr>
            </w:pPr>
          </w:p>
        </w:tc>
        <w:tc>
          <w:tcPr>
            <w:tcW w:w="1134" w:type="dxa"/>
            <w:vMerge w:val="continue"/>
            <w:vAlign w:val="center"/>
          </w:tcPr>
          <w:p>
            <w:pPr>
              <w:snapToGrid w:val="0"/>
              <w:spacing w:before="156"/>
              <w:jc w:val="center"/>
              <w:rPr>
                <w:rFonts w:asciiTheme="minorEastAsia" w:hAnsiTheme="minorEastAsia" w:eastAsiaTheme="minorEastAsia"/>
                <w:sz w:val="20"/>
                <w:szCs w:val="20"/>
              </w:rPr>
            </w:pPr>
          </w:p>
        </w:tc>
        <w:tc>
          <w:tcPr>
            <w:tcW w:w="6269" w:type="dxa"/>
            <w:vMerge w:val="continue"/>
            <w:vAlign w:val="center"/>
          </w:tcPr>
          <w:p>
            <w:pPr>
              <w:snapToGrid w:val="0"/>
              <w:jc w:val="left"/>
              <w:rPr>
                <w:rFonts w:asciiTheme="minorEastAsia" w:hAnsiTheme="minorEastAsia" w:eastAsiaTheme="minorEastAsia"/>
                <w:sz w:val="20"/>
                <w:szCs w:val="20"/>
              </w:rPr>
            </w:pPr>
          </w:p>
        </w:tc>
        <w:tc>
          <w:tcPr>
            <w:tcW w:w="2835" w:type="dxa"/>
            <w:vAlign w:val="center"/>
          </w:tcPr>
          <w:p>
            <w:pPr>
              <w:snapToGrid w:val="0"/>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校级0.</w:t>
            </w:r>
            <w:r>
              <w:rPr>
                <w:rFonts w:asciiTheme="minorEastAsia" w:hAnsiTheme="minorEastAsia" w:eastAsiaTheme="minorEastAsia"/>
                <w:sz w:val="20"/>
                <w:szCs w:val="20"/>
              </w:rPr>
              <w:t>2</w:t>
            </w:r>
            <w:r>
              <w:rPr>
                <w:rFonts w:hint="eastAsia" w:asciiTheme="minorEastAsia" w:hAnsiTheme="minorEastAsia" w:eastAsiaTheme="minorEastAsia"/>
                <w:sz w:val="20"/>
                <w:szCs w:val="20"/>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66" w:type="dxa"/>
            <w:vMerge w:val="continue"/>
            <w:vAlign w:val="center"/>
          </w:tcPr>
          <w:p>
            <w:pPr>
              <w:snapToGrid w:val="0"/>
              <w:spacing w:before="156"/>
              <w:jc w:val="center"/>
              <w:rPr>
                <w:rFonts w:asciiTheme="minorEastAsia" w:hAnsiTheme="minorEastAsia" w:eastAsiaTheme="minorEastAsia"/>
                <w:sz w:val="20"/>
                <w:szCs w:val="20"/>
              </w:rPr>
            </w:pPr>
          </w:p>
        </w:tc>
        <w:tc>
          <w:tcPr>
            <w:tcW w:w="1102" w:type="dxa"/>
            <w:vMerge w:val="continue"/>
            <w:vAlign w:val="center"/>
          </w:tcPr>
          <w:p>
            <w:pPr>
              <w:snapToGrid w:val="0"/>
              <w:spacing w:before="156"/>
              <w:jc w:val="center"/>
              <w:rPr>
                <w:rFonts w:asciiTheme="minorEastAsia" w:hAnsiTheme="minorEastAsia" w:eastAsiaTheme="minorEastAsia"/>
                <w:sz w:val="20"/>
                <w:szCs w:val="20"/>
              </w:rPr>
            </w:pPr>
          </w:p>
        </w:tc>
        <w:tc>
          <w:tcPr>
            <w:tcW w:w="1134" w:type="dxa"/>
            <w:vMerge w:val="continue"/>
            <w:vAlign w:val="center"/>
          </w:tcPr>
          <w:p>
            <w:pPr>
              <w:snapToGrid w:val="0"/>
              <w:spacing w:before="156"/>
              <w:jc w:val="center"/>
              <w:rPr>
                <w:rFonts w:asciiTheme="minorEastAsia" w:hAnsiTheme="minorEastAsia" w:eastAsiaTheme="minorEastAsia"/>
                <w:sz w:val="20"/>
                <w:szCs w:val="20"/>
              </w:rPr>
            </w:pPr>
          </w:p>
        </w:tc>
        <w:tc>
          <w:tcPr>
            <w:tcW w:w="6269" w:type="dxa"/>
            <w:vMerge w:val="restart"/>
            <w:vAlign w:val="center"/>
          </w:tcPr>
          <w:p>
            <w:pPr>
              <w:snapToGrid w:val="0"/>
              <w:jc w:val="left"/>
              <w:rPr>
                <w:rFonts w:asciiTheme="minorEastAsia" w:hAnsiTheme="minorEastAsia" w:eastAsiaTheme="minorEastAsia"/>
                <w:sz w:val="20"/>
                <w:szCs w:val="20"/>
              </w:rPr>
            </w:pPr>
            <w:r>
              <w:rPr>
                <w:rFonts w:hint="eastAsia" w:asciiTheme="minorEastAsia" w:hAnsiTheme="minorEastAsia" w:eastAsiaTheme="minorEastAsia"/>
                <w:sz w:val="20"/>
                <w:szCs w:val="20"/>
              </w:rPr>
              <w:t>优秀共青团员</w:t>
            </w:r>
          </w:p>
        </w:tc>
        <w:tc>
          <w:tcPr>
            <w:tcW w:w="2835" w:type="dxa"/>
            <w:vAlign w:val="center"/>
          </w:tcPr>
          <w:p>
            <w:pPr>
              <w:snapToGrid w:val="0"/>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国家级</w:t>
            </w:r>
            <w:r>
              <w:rPr>
                <w:rFonts w:asciiTheme="minorEastAsia" w:hAnsiTheme="minorEastAsia" w:eastAsiaTheme="minorEastAsia"/>
                <w:sz w:val="20"/>
                <w:szCs w:val="20"/>
              </w:rPr>
              <w:t>2</w:t>
            </w:r>
            <w:r>
              <w:rPr>
                <w:rFonts w:hint="eastAsia" w:asciiTheme="minorEastAsia" w:hAnsiTheme="minorEastAsia" w:eastAsiaTheme="minorEastAsia"/>
                <w:sz w:val="20"/>
                <w:szCs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66" w:type="dxa"/>
            <w:vMerge w:val="continue"/>
            <w:vAlign w:val="center"/>
          </w:tcPr>
          <w:p>
            <w:pPr>
              <w:snapToGrid w:val="0"/>
              <w:spacing w:before="156"/>
              <w:jc w:val="center"/>
              <w:rPr>
                <w:rFonts w:asciiTheme="minorEastAsia" w:hAnsiTheme="minorEastAsia" w:eastAsiaTheme="minorEastAsia"/>
                <w:sz w:val="20"/>
                <w:szCs w:val="20"/>
              </w:rPr>
            </w:pPr>
          </w:p>
        </w:tc>
        <w:tc>
          <w:tcPr>
            <w:tcW w:w="1102" w:type="dxa"/>
            <w:vMerge w:val="continue"/>
            <w:vAlign w:val="center"/>
          </w:tcPr>
          <w:p>
            <w:pPr>
              <w:snapToGrid w:val="0"/>
              <w:spacing w:before="156"/>
              <w:jc w:val="center"/>
              <w:rPr>
                <w:rFonts w:asciiTheme="minorEastAsia" w:hAnsiTheme="minorEastAsia" w:eastAsiaTheme="minorEastAsia"/>
                <w:sz w:val="20"/>
                <w:szCs w:val="20"/>
              </w:rPr>
            </w:pPr>
          </w:p>
        </w:tc>
        <w:tc>
          <w:tcPr>
            <w:tcW w:w="1134" w:type="dxa"/>
            <w:vMerge w:val="continue"/>
            <w:vAlign w:val="center"/>
          </w:tcPr>
          <w:p>
            <w:pPr>
              <w:snapToGrid w:val="0"/>
              <w:spacing w:before="156"/>
              <w:jc w:val="center"/>
              <w:rPr>
                <w:rFonts w:asciiTheme="minorEastAsia" w:hAnsiTheme="minorEastAsia" w:eastAsiaTheme="minorEastAsia"/>
                <w:sz w:val="20"/>
                <w:szCs w:val="20"/>
              </w:rPr>
            </w:pPr>
          </w:p>
        </w:tc>
        <w:tc>
          <w:tcPr>
            <w:tcW w:w="6269" w:type="dxa"/>
            <w:vMerge w:val="continue"/>
            <w:vAlign w:val="center"/>
          </w:tcPr>
          <w:p>
            <w:pPr>
              <w:snapToGrid w:val="0"/>
              <w:jc w:val="left"/>
              <w:rPr>
                <w:rFonts w:asciiTheme="minorEastAsia" w:hAnsiTheme="minorEastAsia" w:eastAsiaTheme="minorEastAsia"/>
                <w:sz w:val="20"/>
                <w:szCs w:val="20"/>
              </w:rPr>
            </w:pPr>
          </w:p>
        </w:tc>
        <w:tc>
          <w:tcPr>
            <w:tcW w:w="2835" w:type="dxa"/>
            <w:vAlign w:val="center"/>
          </w:tcPr>
          <w:p>
            <w:pPr>
              <w:snapToGrid w:val="0"/>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省级</w:t>
            </w:r>
            <w:r>
              <w:rPr>
                <w:rFonts w:asciiTheme="minorEastAsia" w:hAnsiTheme="minorEastAsia" w:eastAsiaTheme="minorEastAsia"/>
                <w:sz w:val="20"/>
                <w:szCs w:val="20"/>
              </w:rPr>
              <w:t>1.5</w:t>
            </w:r>
            <w:r>
              <w:rPr>
                <w:rFonts w:hint="eastAsia" w:asciiTheme="minorEastAsia" w:hAnsiTheme="minorEastAsia" w:eastAsiaTheme="minorEastAsia"/>
                <w:sz w:val="20"/>
                <w:szCs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66" w:type="dxa"/>
            <w:vMerge w:val="continue"/>
            <w:vAlign w:val="center"/>
          </w:tcPr>
          <w:p>
            <w:pPr>
              <w:snapToGrid w:val="0"/>
              <w:spacing w:before="156"/>
              <w:jc w:val="center"/>
              <w:rPr>
                <w:rFonts w:asciiTheme="minorEastAsia" w:hAnsiTheme="minorEastAsia" w:eastAsiaTheme="minorEastAsia"/>
                <w:sz w:val="20"/>
                <w:szCs w:val="20"/>
              </w:rPr>
            </w:pPr>
          </w:p>
        </w:tc>
        <w:tc>
          <w:tcPr>
            <w:tcW w:w="1102" w:type="dxa"/>
            <w:vMerge w:val="continue"/>
            <w:vAlign w:val="center"/>
          </w:tcPr>
          <w:p>
            <w:pPr>
              <w:snapToGrid w:val="0"/>
              <w:spacing w:before="156"/>
              <w:jc w:val="center"/>
              <w:rPr>
                <w:rFonts w:asciiTheme="minorEastAsia" w:hAnsiTheme="minorEastAsia" w:eastAsiaTheme="minorEastAsia"/>
                <w:sz w:val="20"/>
                <w:szCs w:val="20"/>
              </w:rPr>
            </w:pPr>
          </w:p>
        </w:tc>
        <w:tc>
          <w:tcPr>
            <w:tcW w:w="1134" w:type="dxa"/>
            <w:vMerge w:val="continue"/>
            <w:vAlign w:val="center"/>
          </w:tcPr>
          <w:p>
            <w:pPr>
              <w:snapToGrid w:val="0"/>
              <w:spacing w:before="156"/>
              <w:jc w:val="center"/>
              <w:rPr>
                <w:rFonts w:asciiTheme="minorEastAsia" w:hAnsiTheme="minorEastAsia" w:eastAsiaTheme="minorEastAsia"/>
                <w:sz w:val="20"/>
                <w:szCs w:val="20"/>
              </w:rPr>
            </w:pPr>
          </w:p>
        </w:tc>
        <w:tc>
          <w:tcPr>
            <w:tcW w:w="6269" w:type="dxa"/>
            <w:vMerge w:val="continue"/>
            <w:vAlign w:val="center"/>
          </w:tcPr>
          <w:p>
            <w:pPr>
              <w:snapToGrid w:val="0"/>
              <w:jc w:val="left"/>
              <w:rPr>
                <w:rFonts w:asciiTheme="minorEastAsia" w:hAnsiTheme="minorEastAsia" w:eastAsiaTheme="minorEastAsia"/>
                <w:sz w:val="20"/>
                <w:szCs w:val="20"/>
              </w:rPr>
            </w:pPr>
          </w:p>
        </w:tc>
        <w:tc>
          <w:tcPr>
            <w:tcW w:w="2835" w:type="dxa"/>
            <w:vAlign w:val="center"/>
          </w:tcPr>
          <w:p>
            <w:pPr>
              <w:snapToGrid w:val="0"/>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校级0.</w:t>
            </w:r>
            <w:r>
              <w:rPr>
                <w:rFonts w:asciiTheme="minorEastAsia" w:hAnsiTheme="minorEastAsia" w:eastAsiaTheme="minorEastAsia"/>
                <w:sz w:val="20"/>
                <w:szCs w:val="20"/>
              </w:rPr>
              <w:t>05</w:t>
            </w:r>
            <w:r>
              <w:rPr>
                <w:rFonts w:hint="eastAsia" w:asciiTheme="minorEastAsia" w:hAnsiTheme="minorEastAsia" w:eastAsiaTheme="minorEastAsia"/>
                <w:sz w:val="20"/>
                <w:szCs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66" w:type="dxa"/>
            <w:vMerge w:val="continue"/>
            <w:vAlign w:val="center"/>
          </w:tcPr>
          <w:p>
            <w:pPr>
              <w:snapToGrid w:val="0"/>
              <w:spacing w:before="156"/>
              <w:jc w:val="center"/>
              <w:rPr>
                <w:rFonts w:asciiTheme="minorEastAsia" w:hAnsiTheme="minorEastAsia" w:eastAsiaTheme="minorEastAsia"/>
                <w:sz w:val="20"/>
                <w:szCs w:val="20"/>
              </w:rPr>
            </w:pPr>
          </w:p>
        </w:tc>
        <w:tc>
          <w:tcPr>
            <w:tcW w:w="1102" w:type="dxa"/>
            <w:vMerge w:val="continue"/>
            <w:vAlign w:val="center"/>
          </w:tcPr>
          <w:p>
            <w:pPr>
              <w:snapToGrid w:val="0"/>
              <w:spacing w:before="156"/>
              <w:jc w:val="center"/>
              <w:rPr>
                <w:rFonts w:asciiTheme="minorEastAsia" w:hAnsiTheme="minorEastAsia" w:eastAsiaTheme="minorEastAsia"/>
                <w:sz w:val="20"/>
                <w:szCs w:val="20"/>
              </w:rPr>
            </w:pPr>
          </w:p>
        </w:tc>
        <w:tc>
          <w:tcPr>
            <w:tcW w:w="1134" w:type="dxa"/>
            <w:vMerge w:val="continue"/>
            <w:vAlign w:val="center"/>
          </w:tcPr>
          <w:p>
            <w:pPr>
              <w:snapToGrid w:val="0"/>
              <w:spacing w:before="156"/>
              <w:jc w:val="center"/>
              <w:rPr>
                <w:rFonts w:asciiTheme="minorEastAsia" w:hAnsiTheme="minorEastAsia" w:eastAsiaTheme="minorEastAsia"/>
                <w:sz w:val="20"/>
                <w:szCs w:val="20"/>
              </w:rPr>
            </w:pPr>
          </w:p>
        </w:tc>
        <w:tc>
          <w:tcPr>
            <w:tcW w:w="6269" w:type="dxa"/>
            <w:vMerge w:val="restart"/>
            <w:vAlign w:val="center"/>
          </w:tcPr>
          <w:p>
            <w:pPr>
              <w:snapToGrid w:val="0"/>
              <w:jc w:val="left"/>
              <w:rPr>
                <w:rFonts w:asciiTheme="minorEastAsia" w:hAnsiTheme="minorEastAsia" w:eastAsiaTheme="minorEastAsia"/>
                <w:sz w:val="20"/>
                <w:szCs w:val="20"/>
              </w:rPr>
            </w:pPr>
            <w:r>
              <w:rPr>
                <w:rFonts w:hint="eastAsia" w:asciiTheme="minorEastAsia" w:hAnsiTheme="minorEastAsia" w:eastAsiaTheme="minorEastAsia"/>
                <w:sz w:val="20"/>
                <w:szCs w:val="20"/>
              </w:rPr>
              <w:t>优秀共青团干部</w:t>
            </w:r>
          </w:p>
        </w:tc>
        <w:tc>
          <w:tcPr>
            <w:tcW w:w="2835" w:type="dxa"/>
            <w:vAlign w:val="center"/>
          </w:tcPr>
          <w:p>
            <w:pPr>
              <w:snapToGrid w:val="0"/>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国家级</w:t>
            </w:r>
            <w:r>
              <w:rPr>
                <w:rFonts w:asciiTheme="minorEastAsia" w:hAnsiTheme="minorEastAsia" w:eastAsiaTheme="minorEastAsia"/>
                <w:sz w:val="20"/>
                <w:szCs w:val="20"/>
              </w:rPr>
              <w:t>2</w:t>
            </w:r>
            <w:r>
              <w:rPr>
                <w:rFonts w:hint="eastAsia" w:asciiTheme="minorEastAsia" w:hAnsiTheme="minorEastAsia" w:eastAsiaTheme="minorEastAsia"/>
                <w:sz w:val="20"/>
                <w:szCs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66" w:type="dxa"/>
            <w:vMerge w:val="continue"/>
            <w:vAlign w:val="center"/>
          </w:tcPr>
          <w:p>
            <w:pPr>
              <w:snapToGrid w:val="0"/>
              <w:spacing w:before="156"/>
              <w:jc w:val="center"/>
              <w:rPr>
                <w:rFonts w:asciiTheme="minorEastAsia" w:hAnsiTheme="minorEastAsia" w:eastAsiaTheme="minorEastAsia"/>
                <w:sz w:val="20"/>
                <w:szCs w:val="20"/>
              </w:rPr>
            </w:pPr>
          </w:p>
        </w:tc>
        <w:tc>
          <w:tcPr>
            <w:tcW w:w="1102" w:type="dxa"/>
            <w:vMerge w:val="continue"/>
            <w:vAlign w:val="center"/>
          </w:tcPr>
          <w:p>
            <w:pPr>
              <w:snapToGrid w:val="0"/>
              <w:spacing w:before="156"/>
              <w:jc w:val="center"/>
              <w:rPr>
                <w:rFonts w:asciiTheme="minorEastAsia" w:hAnsiTheme="minorEastAsia" w:eastAsiaTheme="minorEastAsia"/>
                <w:sz w:val="20"/>
                <w:szCs w:val="20"/>
              </w:rPr>
            </w:pPr>
          </w:p>
        </w:tc>
        <w:tc>
          <w:tcPr>
            <w:tcW w:w="1134" w:type="dxa"/>
            <w:vMerge w:val="continue"/>
            <w:vAlign w:val="center"/>
          </w:tcPr>
          <w:p>
            <w:pPr>
              <w:snapToGrid w:val="0"/>
              <w:spacing w:before="156"/>
              <w:jc w:val="center"/>
              <w:rPr>
                <w:rFonts w:asciiTheme="minorEastAsia" w:hAnsiTheme="minorEastAsia" w:eastAsiaTheme="minorEastAsia"/>
                <w:sz w:val="20"/>
                <w:szCs w:val="20"/>
              </w:rPr>
            </w:pPr>
          </w:p>
        </w:tc>
        <w:tc>
          <w:tcPr>
            <w:tcW w:w="6269" w:type="dxa"/>
            <w:vMerge w:val="continue"/>
            <w:vAlign w:val="center"/>
          </w:tcPr>
          <w:p>
            <w:pPr>
              <w:snapToGrid w:val="0"/>
              <w:jc w:val="left"/>
              <w:rPr>
                <w:rFonts w:asciiTheme="minorEastAsia" w:hAnsiTheme="minorEastAsia" w:eastAsiaTheme="minorEastAsia"/>
                <w:sz w:val="20"/>
                <w:szCs w:val="20"/>
              </w:rPr>
            </w:pPr>
          </w:p>
        </w:tc>
        <w:tc>
          <w:tcPr>
            <w:tcW w:w="2835" w:type="dxa"/>
            <w:vAlign w:val="center"/>
          </w:tcPr>
          <w:p>
            <w:pPr>
              <w:snapToGrid w:val="0"/>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省级</w:t>
            </w:r>
            <w:r>
              <w:rPr>
                <w:rFonts w:asciiTheme="minorEastAsia" w:hAnsiTheme="minorEastAsia" w:eastAsiaTheme="minorEastAsia"/>
                <w:sz w:val="20"/>
                <w:szCs w:val="20"/>
              </w:rPr>
              <w:t>1.5</w:t>
            </w:r>
            <w:r>
              <w:rPr>
                <w:rFonts w:hint="eastAsia" w:asciiTheme="minorEastAsia" w:hAnsiTheme="minorEastAsia" w:eastAsiaTheme="minorEastAsia"/>
                <w:sz w:val="20"/>
                <w:szCs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66" w:type="dxa"/>
            <w:vMerge w:val="continue"/>
            <w:vAlign w:val="center"/>
          </w:tcPr>
          <w:p>
            <w:pPr>
              <w:snapToGrid w:val="0"/>
              <w:spacing w:before="156"/>
              <w:jc w:val="center"/>
              <w:rPr>
                <w:rFonts w:asciiTheme="minorEastAsia" w:hAnsiTheme="minorEastAsia" w:eastAsiaTheme="minorEastAsia"/>
                <w:sz w:val="20"/>
                <w:szCs w:val="20"/>
              </w:rPr>
            </w:pPr>
          </w:p>
        </w:tc>
        <w:tc>
          <w:tcPr>
            <w:tcW w:w="1102" w:type="dxa"/>
            <w:vMerge w:val="continue"/>
            <w:vAlign w:val="center"/>
          </w:tcPr>
          <w:p>
            <w:pPr>
              <w:snapToGrid w:val="0"/>
              <w:spacing w:before="156"/>
              <w:jc w:val="center"/>
              <w:rPr>
                <w:rFonts w:asciiTheme="minorEastAsia" w:hAnsiTheme="minorEastAsia" w:eastAsiaTheme="minorEastAsia"/>
                <w:sz w:val="20"/>
                <w:szCs w:val="20"/>
              </w:rPr>
            </w:pPr>
          </w:p>
        </w:tc>
        <w:tc>
          <w:tcPr>
            <w:tcW w:w="1134" w:type="dxa"/>
            <w:vMerge w:val="continue"/>
            <w:vAlign w:val="center"/>
          </w:tcPr>
          <w:p>
            <w:pPr>
              <w:snapToGrid w:val="0"/>
              <w:spacing w:before="156"/>
              <w:jc w:val="center"/>
              <w:rPr>
                <w:rFonts w:asciiTheme="minorEastAsia" w:hAnsiTheme="minorEastAsia" w:eastAsiaTheme="minorEastAsia"/>
                <w:sz w:val="20"/>
                <w:szCs w:val="20"/>
              </w:rPr>
            </w:pPr>
          </w:p>
        </w:tc>
        <w:tc>
          <w:tcPr>
            <w:tcW w:w="6269" w:type="dxa"/>
            <w:vMerge w:val="continue"/>
            <w:vAlign w:val="center"/>
          </w:tcPr>
          <w:p>
            <w:pPr>
              <w:snapToGrid w:val="0"/>
              <w:jc w:val="left"/>
              <w:rPr>
                <w:rFonts w:asciiTheme="minorEastAsia" w:hAnsiTheme="minorEastAsia" w:eastAsiaTheme="minorEastAsia"/>
                <w:sz w:val="20"/>
                <w:szCs w:val="20"/>
              </w:rPr>
            </w:pPr>
          </w:p>
        </w:tc>
        <w:tc>
          <w:tcPr>
            <w:tcW w:w="2835" w:type="dxa"/>
            <w:vAlign w:val="center"/>
          </w:tcPr>
          <w:p>
            <w:pPr>
              <w:snapToGrid w:val="0"/>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校级0.</w:t>
            </w:r>
            <w:r>
              <w:rPr>
                <w:rFonts w:asciiTheme="minorEastAsia" w:hAnsiTheme="minorEastAsia" w:eastAsiaTheme="minorEastAsia"/>
                <w:sz w:val="20"/>
                <w:szCs w:val="20"/>
              </w:rPr>
              <w:t>2</w:t>
            </w:r>
            <w:r>
              <w:rPr>
                <w:rFonts w:hint="eastAsia" w:asciiTheme="minorEastAsia" w:hAnsiTheme="minorEastAsia" w:eastAsiaTheme="minorEastAsia"/>
                <w:sz w:val="20"/>
                <w:szCs w:val="20"/>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66" w:type="dxa"/>
            <w:vMerge w:val="continue"/>
            <w:vAlign w:val="center"/>
          </w:tcPr>
          <w:p>
            <w:pPr>
              <w:snapToGrid w:val="0"/>
              <w:spacing w:before="156"/>
              <w:jc w:val="center"/>
              <w:rPr>
                <w:rFonts w:asciiTheme="minorEastAsia" w:hAnsiTheme="minorEastAsia" w:eastAsiaTheme="minorEastAsia"/>
                <w:sz w:val="20"/>
                <w:szCs w:val="20"/>
              </w:rPr>
            </w:pPr>
          </w:p>
        </w:tc>
        <w:tc>
          <w:tcPr>
            <w:tcW w:w="1102" w:type="dxa"/>
            <w:vMerge w:val="continue"/>
            <w:vAlign w:val="center"/>
          </w:tcPr>
          <w:p>
            <w:pPr>
              <w:snapToGrid w:val="0"/>
              <w:spacing w:before="156"/>
              <w:jc w:val="center"/>
              <w:rPr>
                <w:rFonts w:asciiTheme="minorEastAsia" w:hAnsiTheme="minorEastAsia" w:eastAsiaTheme="minorEastAsia"/>
                <w:sz w:val="20"/>
                <w:szCs w:val="20"/>
              </w:rPr>
            </w:pPr>
          </w:p>
        </w:tc>
        <w:tc>
          <w:tcPr>
            <w:tcW w:w="1134" w:type="dxa"/>
            <w:vMerge w:val="continue"/>
            <w:vAlign w:val="center"/>
          </w:tcPr>
          <w:p>
            <w:pPr>
              <w:snapToGrid w:val="0"/>
              <w:spacing w:before="156"/>
              <w:jc w:val="center"/>
              <w:rPr>
                <w:rFonts w:asciiTheme="minorEastAsia" w:hAnsiTheme="minorEastAsia" w:eastAsiaTheme="minorEastAsia"/>
                <w:sz w:val="20"/>
                <w:szCs w:val="20"/>
              </w:rPr>
            </w:pPr>
          </w:p>
        </w:tc>
        <w:tc>
          <w:tcPr>
            <w:tcW w:w="6269" w:type="dxa"/>
            <w:vAlign w:val="center"/>
          </w:tcPr>
          <w:p>
            <w:pPr>
              <w:snapToGrid w:val="0"/>
              <w:jc w:val="left"/>
              <w:rPr>
                <w:rFonts w:asciiTheme="minorEastAsia" w:hAnsiTheme="minorEastAsia" w:eastAsiaTheme="minorEastAsia"/>
                <w:sz w:val="20"/>
                <w:szCs w:val="20"/>
              </w:rPr>
            </w:pPr>
            <w:r>
              <w:rPr>
                <w:rFonts w:hint="eastAsia" w:asciiTheme="minorEastAsia" w:hAnsiTheme="minorEastAsia" w:eastAsiaTheme="minorEastAsia"/>
                <w:sz w:val="20"/>
                <w:szCs w:val="20"/>
              </w:rPr>
              <w:t>百佳团支部书记</w:t>
            </w:r>
          </w:p>
        </w:tc>
        <w:tc>
          <w:tcPr>
            <w:tcW w:w="2835" w:type="dxa"/>
            <w:vAlign w:val="center"/>
          </w:tcPr>
          <w:p>
            <w:pPr>
              <w:snapToGrid w:val="0"/>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校级</w:t>
            </w:r>
            <w:r>
              <w:rPr>
                <w:rFonts w:asciiTheme="minorEastAsia" w:hAnsiTheme="minorEastAsia" w:eastAsiaTheme="minorEastAsia"/>
                <w:sz w:val="20"/>
                <w:szCs w:val="20"/>
              </w:rPr>
              <w:t>0.5</w:t>
            </w:r>
            <w:r>
              <w:rPr>
                <w:rFonts w:hint="eastAsia" w:asciiTheme="minorEastAsia" w:hAnsiTheme="minorEastAsia" w:eastAsiaTheme="minorEastAsia"/>
                <w:sz w:val="20"/>
                <w:szCs w:val="20"/>
              </w:rPr>
              <w:t xml:space="preserve">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66" w:type="dxa"/>
            <w:vMerge w:val="continue"/>
            <w:vAlign w:val="center"/>
          </w:tcPr>
          <w:p>
            <w:pPr>
              <w:snapToGrid w:val="0"/>
              <w:jc w:val="center"/>
              <w:rPr>
                <w:rFonts w:asciiTheme="minorEastAsia" w:hAnsiTheme="minorEastAsia" w:eastAsiaTheme="minorEastAsia"/>
                <w:sz w:val="20"/>
                <w:szCs w:val="20"/>
              </w:rPr>
            </w:pPr>
          </w:p>
        </w:tc>
        <w:tc>
          <w:tcPr>
            <w:tcW w:w="1102" w:type="dxa"/>
            <w:vMerge w:val="continue"/>
            <w:vAlign w:val="center"/>
          </w:tcPr>
          <w:p>
            <w:pPr>
              <w:snapToGrid w:val="0"/>
              <w:jc w:val="center"/>
              <w:rPr>
                <w:rFonts w:asciiTheme="minorEastAsia" w:hAnsiTheme="minorEastAsia" w:eastAsiaTheme="minorEastAsia"/>
                <w:sz w:val="20"/>
                <w:szCs w:val="20"/>
              </w:rPr>
            </w:pPr>
          </w:p>
        </w:tc>
        <w:tc>
          <w:tcPr>
            <w:tcW w:w="1134" w:type="dxa"/>
            <w:vMerge w:val="continue"/>
            <w:vAlign w:val="center"/>
          </w:tcPr>
          <w:p>
            <w:pPr>
              <w:snapToGrid w:val="0"/>
              <w:jc w:val="center"/>
              <w:rPr>
                <w:rFonts w:asciiTheme="minorEastAsia" w:hAnsiTheme="minorEastAsia" w:eastAsiaTheme="minorEastAsia"/>
                <w:sz w:val="20"/>
                <w:szCs w:val="20"/>
              </w:rPr>
            </w:pPr>
          </w:p>
        </w:tc>
        <w:tc>
          <w:tcPr>
            <w:tcW w:w="6269" w:type="dxa"/>
            <w:vAlign w:val="center"/>
          </w:tcPr>
          <w:p>
            <w:pPr>
              <w:snapToGrid w:val="0"/>
              <w:jc w:val="left"/>
              <w:rPr>
                <w:rFonts w:asciiTheme="minorEastAsia" w:hAnsiTheme="minorEastAsia" w:eastAsiaTheme="minorEastAsia"/>
                <w:sz w:val="20"/>
                <w:szCs w:val="20"/>
              </w:rPr>
            </w:pPr>
            <w:r>
              <w:rPr>
                <w:rFonts w:hint="eastAsia" w:asciiTheme="minorEastAsia" w:hAnsiTheme="minorEastAsia" w:eastAsiaTheme="minorEastAsia"/>
                <w:sz w:val="20"/>
                <w:szCs w:val="20"/>
              </w:rPr>
              <w:t>优秀共产党员</w:t>
            </w:r>
          </w:p>
        </w:tc>
        <w:tc>
          <w:tcPr>
            <w:tcW w:w="2835" w:type="dxa"/>
            <w:vAlign w:val="center"/>
          </w:tcPr>
          <w:p>
            <w:pPr>
              <w:snapToGrid w:val="0"/>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校级</w:t>
            </w:r>
            <w:r>
              <w:rPr>
                <w:rFonts w:asciiTheme="minorEastAsia" w:hAnsiTheme="minorEastAsia" w:eastAsiaTheme="minorEastAsia"/>
                <w:sz w:val="20"/>
                <w:szCs w:val="20"/>
              </w:rPr>
              <w:t>1.25</w:t>
            </w:r>
            <w:r>
              <w:rPr>
                <w:rFonts w:hint="eastAsia" w:asciiTheme="minorEastAsia" w:hAnsiTheme="minorEastAsia" w:eastAsiaTheme="minorEastAsia"/>
                <w:sz w:val="20"/>
                <w:szCs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66" w:type="dxa"/>
            <w:vMerge w:val="continue"/>
            <w:vAlign w:val="center"/>
          </w:tcPr>
          <w:p>
            <w:pPr>
              <w:snapToGrid w:val="0"/>
              <w:jc w:val="center"/>
              <w:rPr>
                <w:rFonts w:asciiTheme="minorEastAsia" w:hAnsiTheme="minorEastAsia" w:eastAsiaTheme="minorEastAsia"/>
                <w:sz w:val="20"/>
                <w:szCs w:val="20"/>
              </w:rPr>
            </w:pPr>
          </w:p>
        </w:tc>
        <w:tc>
          <w:tcPr>
            <w:tcW w:w="1102" w:type="dxa"/>
            <w:vMerge w:val="continue"/>
            <w:vAlign w:val="center"/>
          </w:tcPr>
          <w:p>
            <w:pPr>
              <w:snapToGrid w:val="0"/>
              <w:jc w:val="center"/>
              <w:rPr>
                <w:rFonts w:asciiTheme="minorEastAsia" w:hAnsiTheme="minorEastAsia" w:eastAsiaTheme="minorEastAsia"/>
                <w:sz w:val="20"/>
                <w:szCs w:val="20"/>
              </w:rPr>
            </w:pPr>
          </w:p>
        </w:tc>
        <w:tc>
          <w:tcPr>
            <w:tcW w:w="1134" w:type="dxa"/>
            <w:vMerge w:val="continue"/>
            <w:vAlign w:val="center"/>
          </w:tcPr>
          <w:p>
            <w:pPr>
              <w:snapToGrid w:val="0"/>
              <w:jc w:val="center"/>
              <w:rPr>
                <w:rFonts w:asciiTheme="minorEastAsia" w:hAnsiTheme="minorEastAsia" w:eastAsiaTheme="minorEastAsia"/>
                <w:sz w:val="20"/>
                <w:szCs w:val="20"/>
              </w:rPr>
            </w:pPr>
          </w:p>
        </w:tc>
        <w:tc>
          <w:tcPr>
            <w:tcW w:w="6269" w:type="dxa"/>
            <w:vAlign w:val="center"/>
          </w:tcPr>
          <w:p>
            <w:pPr>
              <w:snapToGrid w:val="0"/>
              <w:jc w:val="left"/>
              <w:rPr>
                <w:rFonts w:asciiTheme="minorEastAsia" w:hAnsiTheme="minorEastAsia" w:eastAsiaTheme="minorEastAsia"/>
                <w:sz w:val="20"/>
                <w:szCs w:val="20"/>
              </w:rPr>
            </w:pPr>
            <w:r>
              <w:rPr>
                <w:rFonts w:hint="eastAsia" w:asciiTheme="minorEastAsia" w:hAnsiTheme="minorEastAsia" w:eastAsiaTheme="minorEastAsia"/>
                <w:sz w:val="20"/>
                <w:szCs w:val="20"/>
              </w:rPr>
              <w:t>校级优秀党务工作者</w:t>
            </w:r>
          </w:p>
        </w:tc>
        <w:tc>
          <w:tcPr>
            <w:tcW w:w="2835" w:type="dxa"/>
            <w:vAlign w:val="center"/>
          </w:tcPr>
          <w:p>
            <w:pPr>
              <w:snapToGrid w:val="0"/>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校级</w:t>
            </w:r>
            <w:r>
              <w:rPr>
                <w:rFonts w:asciiTheme="minorEastAsia" w:hAnsiTheme="minorEastAsia" w:eastAsiaTheme="minorEastAsia"/>
                <w:sz w:val="20"/>
                <w:szCs w:val="20"/>
              </w:rPr>
              <w:t>1.5</w:t>
            </w:r>
            <w:r>
              <w:rPr>
                <w:rFonts w:hint="eastAsia" w:asciiTheme="minorEastAsia" w:hAnsiTheme="minorEastAsia" w:eastAsiaTheme="minorEastAsia"/>
                <w:sz w:val="20"/>
                <w:szCs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66" w:type="dxa"/>
            <w:vMerge w:val="continue"/>
            <w:vAlign w:val="center"/>
          </w:tcPr>
          <w:p>
            <w:pPr>
              <w:snapToGrid w:val="0"/>
              <w:jc w:val="center"/>
              <w:rPr>
                <w:rFonts w:asciiTheme="minorEastAsia" w:hAnsiTheme="minorEastAsia" w:eastAsiaTheme="minorEastAsia"/>
                <w:sz w:val="20"/>
                <w:szCs w:val="20"/>
              </w:rPr>
            </w:pPr>
          </w:p>
        </w:tc>
        <w:tc>
          <w:tcPr>
            <w:tcW w:w="1102" w:type="dxa"/>
            <w:vMerge w:val="continue"/>
            <w:vAlign w:val="center"/>
          </w:tcPr>
          <w:p>
            <w:pPr>
              <w:snapToGrid w:val="0"/>
              <w:jc w:val="center"/>
              <w:rPr>
                <w:rFonts w:asciiTheme="minorEastAsia" w:hAnsiTheme="minorEastAsia" w:eastAsiaTheme="minorEastAsia"/>
                <w:sz w:val="20"/>
                <w:szCs w:val="20"/>
              </w:rPr>
            </w:pPr>
          </w:p>
        </w:tc>
        <w:tc>
          <w:tcPr>
            <w:tcW w:w="1134" w:type="dxa"/>
            <w:vMerge w:val="continue"/>
            <w:vAlign w:val="center"/>
          </w:tcPr>
          <w:p>
            <w:pPr>
              <w:snapToGrid w:val="0"/>
              <w:jc w:val="center"/>
              <w:rPr>
                <w:rFonts w:asciiTheme="minorEastAsia" w:hAnsiTheme="minorEastAsia" w:eastAsiaTheme="minorEastAsia"/>
                <w:sz w:val="20"/>
                <w:szCs w:val="20"/>
              </w:rPr>
            </w:pPr>
          </w:p>
        </w:tc>
        <w:tc>
          <w:tcPr>
            <w:tcW w:w="6269" w:type="dxa"/>
            <w:vAlign w:val="center"/>
          </w:tcPr>
          <w:p>
            <w:pPr>
              <w:snapToGrid w:val="0"/>
              <w:jc w:val="left"/>
              <w:rPr>
                <w:rFonts w:asciiTheme="minorEastAsia" w:hAnsiTheme="minorEastAsia" w:eastAsiaTheme="minorEastAsia"/>
                <w:sz w:val="20"/>
                <w:szCs w:val="20"/>
              </w:rPr>
            </w:pPr>
            <w:r>
              <w:rPr>
                <w:rFonts w:hint="eastAsia" w:asciiTheme="minorEastAsia" w:hAnsiTheme="minorEastAsia" w:eastAsiaTheme="minorEastAsia"/>
                <w:sz w:val="20"/>
                <w:szCs w:val="20"/>
              </w:rPr>
              <w:t>先进党支部</w:t>
            </w:r>
          </w:p>
        </w:tc>
        <w:tc>
          <w:tcPr>
            <w:tcW w:w="2835" w:type="dxa"/>
            <w:vAlign w:val="center"/>
          </w:tcPr>
          <w:p>
            <w:pPr>
              <w:snapToGrid w:val="0"/>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支部书记</w:t>
            </w:r>
            <w:r>
              <w:rPr>
                <w:rFonts w:asciiTheme="minorEastAsia" w:hAnsiTheme="minorEastAsia" w:eastAsiaTheme="minorEastAsia"/>
                <w:sz w:val="20"/>
                <w:szCs w:val="20"/>
              </w:rPr>
              <w:t>1.5</w:t>
            </w:r>
            <w:r>
              <w:rPr>
                <w:rFonts w:hint="eastAsia" w:asciiTheme="minorEastAsia" w:hAnsiTheme="minorEastAsia" w:eastAsiaTheme="minorEastAsia"/>
                <w:sz w:val="20"/>
                <w:szCs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66" w:type="dxa"/>
            <w:vMerge w:val="continue"/>
            <w:vAlign w:val="center"/>
          </w:tcPr>
          <w:p>
            <w:pPr>
              <w:snapToGrid w:val="0"/>
              <w:jc w:val="center"/>
              <w:rPr>
                <w:rFonts w:asciiTheme="minorEastAsia" w:hAnsiTheme="minorEastAsia" w:eastAsiaTheme="minorEastAsia"/>
                <w:sz w:val="20"/>
                <w:szCs w:val="20"/>
              </w:rPr>
            </w:pPr>
          </w:p>
        </w:tc>
        <w:tc>
          <w:tcPr>
            <w:tcW w:w="1102" w:type="dxa"/>
            <w:vMerge w:val="restart"/>
            <w:vAlign w:val="center"/>
          </w:tcPr>
          <w:p>
            <w:pPr>
              <w:snapToGrid w:val="0"/>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担当意识</w:t>
            </w:r>
          </w:p>
        </w:tc>
        <w:tc>
          <w:tcPr>
            <w:tcW w:w="1134" w:type="dxa"/>
            <w:vMerge w:val="restart"/>
            <w:vAlign w:val="center"/>
          </w:tcPr>
          <w:p>
            <w:pPr>
              <w:snapToGrid w:val="0"/>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优秀干部</w:t>
            </w:r>
          </w:p>
        </w:tc>
        <w:tc>
          <w:tcPr>
            <w:tcW w:w="6269" w:type="dxa"/>
            <w:vMerge w:val="restart"/>
            <w:vAlign w:val="center"/>
          </w:tcPr>
          <w:p>
            <w:pPr>
              <w:snapToGrid w:val="0"/>
              <w:jc w:val="left"/>
              <w:rPr>
                <w:rFonts w:asciiTheme="minorEastAsia" w:hAnsiTheme="minorEastAsia" w:eastAsiaTheme="minorEastAsia"/>
                <w:sz w:val="20"/>
                <w:szCs w:val="20"/>
              </w:rPr>
            </w:pPr>
            <w:r>
              <w:rPr>
                <w:rFonts w:hint="eastAsia" w:asciiTheme="minorEastAsia" w:hAnsiTheme="minorEastAsia" w:eastAsiaTheme="minorEastAsia"/>
                <w:sz w:val="20"/>
                <w:szCs w:val="20"/>
              </w:rPr>
              <w:t>五四</w:t>
            </w:r>
            <w:r>
              <w:rPr>
                <w:rFonts w:asciiTheme="minorEastAsia" w:hAnsiTheme="minorEastAsia" w:eastAsiaTheme="minorEastAsia"/>
                <w:sz w:val="20"/>
                <w:szCs w:val="20"/>
              </w:rPr>
              <w:t>红旗团支部书</w:t>
            </w:r>
            <w:r>
              <w:rPr>
                <w:rFonts w:hint="eastAsia" w:asciiTheme="minorEastAsia" w:hAnsiTheme="minorEastAsia" w:eastAsiaTheme="minorEastAsia"/>
                <w:sz w:val="20"/>
                <w:szCs w:val="20"/>
              </w:rPr>
              <w:t>记</w:t>
            </w:r>
          </w:p>
        </w:tc>
        <w:tc>
          <w:tcPr>
            <w:tcW w:w="2835" w:type="dxa"/>
            <w:vAlign w:val="center"/>
          </w:tcPr>
          <w:p>
            <w:pPr>
              <w:snapToGrid w:val="0"/>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国家级</w:t>
            </w:r>
            <w:r>
              <w:rPr>
                <w:rFonts w:asciiTheme="minorEastAsia" w:hAnsiTheme="minorEastAsia" w:eastAsiaTheme="minorEastAsia"/>
                <w:sz w:val="20"/>
                <w:szCs w:val="20"/>
              </w:rPr>
              <w:t>2</w:t>
            </w:r>
            <w:r>
              <w:rPr>
                <w:rFonts w:hint="eastAsia" w:asciiTheme="minorEastAsia" w:hAnsiTheme="minorEastAsia" w:eastAsiaTheme="minorEastAsia"/>
                <w:sz w:val="20"/>
                <w:szCs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66" w:type="dxa"/>
            <w:vMerge w:val="continue"/>
            <w:vAlign w:val="center"/>
          </w:tcPr>
          <w:p>
            <w:pPr>
              <w:snapToGrid w:val="0"/>
              <w:jc w:val="center"/>
              <w:rPr>
                <w:rFonts w:asciiTheme="minorEastAsia" w:hAnsiTheme="minorEastAsia" w:eastAsiaTheme="minorEastAsia"/>
                <w:sz w:val="20"/>
                <w:szCs w:val="20"/>
              </w:rPr>
            </w:pPr>
          </w:p>
        </w:tc>
        <w:tc>
          <w:tcPr>
            <w:tcW w:w="1102" w:type="dxa"/>
            <w:vMerge w:val="continue"/>
            <w:vAlign w:val="center"/>
          </w:tcPr>
          <w:p>
            <w:pPr>
              <w:snapToGrid w:val="0"/>
              <w:jc w:val="center"/>
              <w:rPr>
                <w:rFonts w:asciiTheme="minorEastAsia" w:hAnsiTheme="minorEastAsia" w:eastAsiaTheme="minorEastAsia"/>
                <w:sz w:val="20"/>
                <w:szCs w:val="20"/>
              </w:rPr>
            </w:pPr>
          </w:p>
        </w:tc>
        <w:tc>
          <w:tcPr>
            <w:tcW w:w="1134" w:type="dxa"/>
            <w:vMerge w:val="continue"/>
            <w:vAlign w:val="center"/>
          </w:tcPr>
          <w:p>
            <w:pPr>
              <w:snapToGrid w:val="0"/>
              <w:jc w:val="center"/>
              <w:rPr>
                <w:rFonts w:asciiTheme="minorEastAsia" w:hAnsiTheme="minorEastAsia" w:eastAsiaTheme="minorEastAsia"/>
                <w:sz w:val="20"/>
                <w:szCs w:val="20"/>
              </w:rPr>
            </w:pPr>
          </w:p>
        </w:tc>
        <w:tc>
          <w:tcPr>
            <w:tcW w:w="6269" w:type="dxa"/>
            <w:vMerge w:val="continue"/>
            <w:vAlign w:val="center"/>
          </w:tcPr>
          <w:p>
            <w:pPr>
              <w:snapToGrid w:val="0"/>
              <w:jc w:val="left"/>
              <w:rPr>
                <w:rFonts w:asciiTheme="minorEastAsia" w:hAnsiTheme="minorEastAsia" w:eastAsiaTheme="minorEastAsia"/>
                <w:sz w:val="20"/>
                <w:szCs w:val="20"/>
              </w:rPr>
            </w:pPr>
          </w:p>
        </w:tc>
        <w:tc>
          <w:tcPr>
            <w:tcW w:w="2835" w:type="dxa"/>
            <w:vAlign w:val="center"/>
          </w:tcPr>
          <w:p>
            <w:pPr>
              <w:snapToGrid w:val="0"/>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省级</w:t>
            </w:r>
            <w:r>
              <w:rPr>
                <w:rFonts w:asciiTheme="minorEastAsia" w:hAnsiTheme="minorEastAsia" w:eastAsiaTheme="minorEastAsia"/>
                <w:sz w:val="20"/>
                <w:szCs w:val="20"/>
              </w:rPr>
              <w:t>1.5</w:t>
            </w:r>
            <w:r>
              <w:rPr>
                <w:rFonts w:hint="eastAsia" w:asciiTheme="minorEastAsia" w:hAnsiTheme="minorEastAsia" w:eastAsiaTheme="minorEastAsia"/>
                <w:sz w:val="20"/>
                <w:szCs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66" w:type="dxa"/>
            <w:vMerge w:val="continue"/>
            <w:vAlign w:val="center"/>
          </w:tcPr>
          <w:p>
            <w:pPr>
              <w:snapToGrid w:val="0"/>
              <w:jc w:val="center"/>
              <w:rPr>
                <w:rFonts w:asciiTheme="minorEastAsia" w:hAnsiTheme="minorEastAsia" w:eastAsiaTheme="minorEastAsia"/>
                <w:sz w:val="20"/>
                <w:szCs w:val="20"/>
              </w:rPr>
            </w:pPr>
          </w:p>
        </w:tc>
        <w:tc>
          <w:tcPr>
            <w:tcW w:w="1102" w:type="dxa"/>
            <w:vMerge w:val="continue"/>
            <w:vAlign w:val="center"/>
          </w:tcPr>
          <w:p>
            <w:pPr>
              <w:snapToGrid w:val="0"/>
              <w:jc w:val="center"/>
              <w:rPr>
                <w:rFonts w:asciiTheme="minorEastAsia" w:hAnsiTheme="minorEastAsia" w:eastAsiaTheme="minorEastAsia"/>
                <w:sz w:val="20"/>
                <w:szCs w:val="20"/>
              </w:rPr>
            </w:pPr>
          </w:p>
        </w:tc>
        <w:tc>
          <w:tcPr>
            <w:tcW w:w="1134" w:type="dxa"/>
            <w:vMerge w:val="continue"/>
            <w:vAlign w:val="center"/>
          </w:tcPr>
          <w:p>
            <w:pPr>
              <w:snapToGrid w:val="0"/>
              <w:jc w:val="center"/>
              <w:rPr>
                <w:rFonts w:asciiTheme="minorEastAsia" w:hAnsiTheme="minorEastAsia" w:eastAsiaTheme="minorEastAsia"/>
                <w:sz w:val="20"/>
                <w:szCs w:val="20"/>
              </w:rPr>
            </w:pPr>
          </w:p>
        </w:tc>
        <w:tc>
          <w:tcPr>
            <w:tcW w:w="6269" w:type="dxa"/>
            <w:vMerge w:val="continue"/>
            <w:vAlign w:val="center"/>
          </w:tcPr>
          <w:p>
            <w:pPr>
              <w:snapToGrid w:val="0"/>
              <w:jc w:val="left"/>
              <w:rPr>
                <w:rFonts w:asciiTheme="minorEastAsia" w:hAnsiTheme="minorEastAsia" w:eastAsiaTheme="minorEastAsia"/>
                <w:sz w:val="20"/>
                <w:szCs w:val="20"/>
              </w:rPr>
            </w:pPr>
          </w:p>
        </w:tc>
        <w:tc>
          <w:tcPr>
            <w:tcW w:w="2835" w:type="dxa"/>
            <w:vAlign w:val="center"/>
          </w:tcPr>
          <w:p>
            <w:pPr>
              <w:snapToGrid w:val="0"/>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校级</w:t>
            </w:r>
            <w:r>
              <w:rPr>
                <w:rFonts w:asciiTheme="minorEastAsia" w:hAnsiTheme="minorEastAsia" w:eastAsiaTheme="minorEastAsia"/>
                <w:sz w:val="20"/>
                <w:szCs w:val="20"/>
              </w:rPr>
              <w:t>0.5</w:t>
            </w:r>
            <w:r>
              <w:rPr>
                <w:rFonts w:hint="eastAsia" w:asciiTheme="minorEastAsia" w:hAnsiTheme="minorEastAsia" w:eastAsiaTheme="minorEastAsia"/>
                <w:sz w:val="20"/>
                <w:szCs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66" w:type="dxa"/>
            <w:vMerge w:val="continue"/>
            <w:vAlign w:val="center"/>
          </w:tcPr>
          <w:p>
            <w:pPr>
              <w:snapToGrid w:val="0"/>
              <w:jc w:val="center"/>
              <w:rPr>
                <w:rFonts w:asciiTheme="minorEastAsia" w:hAnsiTheme="minorEastAsia" w:eastAsiaTheme="minorEastAsia"/>
                <w:sz w:val="20"/>
                <w:szCs w:val="20"/>
              </w:rPr>
            </w:pPr>
          </w:p>
        </w:tc>
        <w:tc>
          <w:tcPr>
            <w:tcW w:w="1102" w:type="dxa"/>
            <w:vMerge w:val="continue"/>
            <w:vAlign w:val="center"/>
          </w:tcPr>
          <w:p>
            <w:pPr>
              <w:snapToGrid w:val="0"/>
              <w:jc w:val="center"/>
              <w:rPr>
                <w:rFonts w:asciiTheme="minorEastAsia" w:hAnsiTheme="minorEastAsia" w:eastAsiaTheme="minorEastAsia"/>
                <w:sz w:val="20"/>
                <w:szCs w:val="20"/>
              </w:rPr>
            </w:pPr>
          </w:p>
        </w:tc>
        <w:tc>
          <w:tcPr>
            <w:tcW w:w="1134" w:type="dxa"/>
            <w:vMerge w:val="restart"/>
            <w:vAlign w:val="center"/>
          </w:tcPr>
          <w:p>
            <w:pPr>
              <w:snapToGrid w:val="0"/>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干部担当</w:t>
            </w:r>
          </w:p>
        </w:tc>
        <w:tc>
          <w:tcPr>
            <w:tcW w:w="6269" w:type="dxa"/>
            <w:vAlign w:val="center"/>
          </w:tcPr>
          <w:p>
            <w:pPr>
              <w:snapToGrid w:val="0"/>
              <w:jc w:val="left"/>
              <w:rPr>
                <w:rFonts w:asciiTheme="minorEastAsia" w:hAnsiTheme="minorEastAsia" w:eastAsiaTheme="minorEastAsia"/>
                <w:sz w:val="20"/>
                <w:szCs w:val="20"/>
              </w:rPr>
            </w:pPr>
            <w:r>
              <w:rPr>
                <w:rFonts w:hint="eastAsia" w:asciiTheme="minorEastAsia" w:hAnsiTheme="minorEastAsia" w:eastAsiaTheme="minorEastAsia"/>
                <w:sz w:val="20"/>
                <w:szCs w:val="20"/>
              </w:rPr>
              <w:t>党支部书记</w:t>
            </w:r>
          </w:p>
        </w:tc>
        <w:tc>
          <w:tcPr>
            <w:tcW w:w="2835" w:type="dxa"/>
            <w:vAlign w:val="center"/>
          </w:tcPr>
          <w:p>
            <w:pPr>
              <w:snapToGrid w:val="0"/>
              <w:jc w:val="center"/>
              <w:rPr>
                <w:rFonts w:asciiTheme="minorEastAsia" w:hAnsiTheme="minorEastAsia" w:eastAsiaTheme="minorEastAsia"/>
                <w:sz w:val="20"/>
                <w:szCs w:val="20"/>
              </w:rPr>
            </w:pPr>
            <w:r>
              <w:rPr>
                <w:rFonts w:asciiTheme="minorEastAsia" w:hAnsiTheme="minorEastAsia" w:eastAsiaTheme="minorEastAsia"/>
                <w:sz w:val="20"/>
                <w:szCs w:val="20"/>
              </w:rPr>
              <w:t>0.75</w:t>
            </w:r>
            <w:r>
              <w:rPr>
                <w:rFonts w:hint="eastAsia" w:asciiTheme="minorEastAsia" w:hAnsiTheme="minorEastAsia" w:eastAsiaTheme="minorEastAsia"/>
                <w:sz w:val="20"/>
                <w:szCs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66" w:type="dxa"/>
            <w:vMerge w:val="continue"/>
            <w:vAlign w:val="center"/>
          </w:tcPr>
          <w:p>
            <w:pPr>
              <w:snapToGrid w:val="0"/>
              <w:jc w:val="center"/>
              <w:rPr>
                <w:rFonts w:asciiTheme="minorEastAsia" w:hAnsiTheme="minorEastAsia" w:eastAsiaTheme="minorEastAsia"/>
                <w:sz w:val="20"/>
                <w:szCs w:val="20"/>
              </w:rPr>
            </w:pPr>
          </w:p>
        </w:tc>
        <w:tc>
          <w:tcPr>
            <w:tcW w:w="1102" w:type="dxa"/>
            <w:vMerge w:val="continue"/>
            <w:vAlign w:val="center"/>
          </w:tcPr>
          <w:p>
            <w:pPr>
              <w:snapToGrid w:val="0"/>
              <w:jc w:val="center"/>
              <w:rPr>
                <w:rFonts w:asciiTheme="minorEastAsia" w:hAnsiTheme="minorEastAsia" w:eastAsiaTheme="minorEastAsia"/>
                <w:sz w:val="20"/>
                <w:szCs w:val="20"/>
              </w:rPr>
            </w:pPr>
          </w:p>
        </w:tc>
        <w:tc>
          <w:tcPr>
            <w:tcW w:w="1134" w:type="dxa"/>
            <w:vMerge w:val="continue"/>
            <w:vAlign w:val="center"/>
          </w:tcPr>
          <w:p>
            <w:pPr>
              <w:snapToGrid w:val="0"/>
              <w:jc w:val="center"/>
              <w:rPr>
                <w:rFonts w:asciiTheme="minorEastAsia" w:hAnsiTheme="minorEastAsia" w:eastAsiaTheme="minorEastAsia"/>
                <w:sz w:val="20"/>
                <w:szCs w:val="20"/>
              </w:rPr>
            </w:pPr>
          </w:p>
        </w:tc>
        <w:tc>
          <w:tcPr>
            <w:tcW w:w="6269" w:type="dxa"/>
            <w:vAlign w:val="center"/>
          </w:tcPr>
          <w:p>
            <w:pPr>
              <w:snapToGrid w:val="0"/>
              <w:jc w:val="left"/>
              <w:rPr>
                <w:rFonts w:asciiTheme="minorEastAsia" w:hAnsiTheme="minorEastAsia" w:eastAsiaTheme="minorEastAsia"/>
                <w:sz w:val="20"/>
                <w:szCs w:val="20"/>
              </w:rPr>
            </w:pPr>
            <w:r>
              <w:rPr>
                <w:rFonts w:hint="eastAsia" w:asciiTheme="minorEastAsia" w:hAnsiTheme="minorEastAsia" w:eastAsiaTheme="minorEastAsia"/>
                <w:sz w:val="20"/>
                <w:szCs w:val="20"/>
              </w:rPr>
              <w:t>班长</w:t>
            </w:r>
          </w:p>
        </w:tc>
        <w:tc>
          <w:tcPr>
            <w:tcW w:w="2835" w:type="dxa"/>
            <w:vAlign w:val="center"/>
          </w:tcPr>
          <w:p>
            <w:pPr>
              <w:snapToGrid w:val="0"/>
              <w:jc w:val="center"/>
              <w:rPr>
                <w:rFonts w:asciiTheme="minorEastAsia" w:hAnsiTheme="minorEastAsia" w:eastAsiaTheme="minorEastAsia"/>
                <w:sz w:val="20"/>
                <w:szCs w:val="20"/>
              </w:rPr>
            </w:pPr>
            <w:r>
              <w:rPr>
                <w:rFonts w:asciiTheme="minorEastAsia" w:hAnsiTheme="minorEastAsia" w:eastAsiaTheme="minorEastAsia"/>
                <w:sz w:val="20"/>
                <w:szCs w:val="20"/>
              </w:rPr>
              <w:t>0.5</w:t>
            </w:r>
            <w:r>
              <w:rPr>
                <w:rFonts w:hint="eastAsia" w:asciiTheme="minorEastAsia" w:hAnsiTheme="minorEastAsia" w:eastAsiaTheme="minorEastAsia"/>
                <w:sz w:val="20"/>
                <w:szCs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66" w:type="dxa"/>
            <w:vMerge w:val="continue"/>
            <w:vAlign w:val="center"/>
          </w:tcPr>
          <w:p>
            <w:pPr>
              <w:snapToGrid w:val="0"/>
              <w:jc w:val="center"/>
              <w:rPr>
                <w:rFonts w:asciiTheme="minorEastAsia" w:hAnsiTheme="minorEastAsia" w:eastAsiaTheme="minorEastAsia"/>
                <w:sz w:val="20"/>
                <w:szCs w:val="20"/>
              </w:rPr>
            </w:pPr>
          </w:p>
        </w:tc>
        <w:tc>
          <w:tcPr>
            <w:tcW w:w="1102" w:type="dxa"/>
            <w:vMerge w:val="continue"/>
            <w:vAlign w:val="center"/>
          </w:tcPr>
          <w:p>
            <w:pPr>
              <w:snapToGrid w:val="0"/>
              <w:jc w:val="center"/>
              <w:rPr>
                <w:rFonts w:asciiTheme="minorEastAsia" w:hAnsiTheme="minorEastAsia" w:eastAsiaTheme="minorEastAsia"/>
                <w:sz w:val="20"/>
                <w:szCs w:val="20"/>
              </w:rPr>
            </w:pPr>
          </w:p>
        </w:tc>
        <w:tc>
          <w:tcPr>
            <w:tcW w:w="1134" w:type="dxa"/>
            <w:vMerge w:val="continue"/>
            <w:vAlign w:val="center"/>
          </w:tcPr>
          <w:p>
            <w:pPr>
              <w:snapToGrid w:val="0"/>
              <w:jc w:val="center"/>
              <w:rPr>
                <w:rFonts w:asciiTheme="minorEastAsia" w:hAnsiTheme="minorEastAsia" w:eastAsiaTheme="minorEastAsia"/>
                <w:sz w:val="20"/>
                <w:szCs w:val="20"/>
              </w:rPr>
            </w:pPr>
          </w:p>
        </w:tc>
        <w:tc>
          <w:tcPr>
            <w:tcW w:w="6269" w:type="dxa"/>
            <w:vAlign w:val="center"/>
          </w:tcPr>
          <w:p>
            <w:pPr>
              <w:snapToGrid w:val="0"/>
              <w:jc w:val="left"/>
              <w:rPr>
                <w:rFonts w:asciiTheme="minorEastAsia" w:hAnsiTheme="minorEastAsia" w:eastAsiaTheme="minorEastAsia"/>
                <w:sz w:val="20"/>
                <w:szCs w:val="20"/>
              </w:rPr>
            </w:pPr>
            <w:r>
              <w:rPr>
                <w:rFonts w:hint="eastAsia" w:asciiTheme="minorEastAsia" w:hAnsiTheme="minorEastAsia" w:eastAsiaTheme="minorEastAsia"/>
                <w:sz w:val="20"/>
                <w:szCs w:val="20"/>
              </w:rPr>
              <w:t>团支部书记</w:t>
            </w:r>
          </w:p>
        </w:tc>
        <w:tc>
          <w:tcPr>
            <w:tcW w:w="2835" w:type="dxa"/>
            <w:vAlign w:val="center"/>
          </w:tcPr>
          <w:p>
            <w:pPr>
              <w:snapToGrid w:val="0"/>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0.</w:t>
            </w:r>
            <w:r>
              <w:rPr>
                <w:rFonts w:asciiTheme="minorEastAsia" w:hAnsiTheme="minorEastAsia" w:eastAsiaTheme="minorEastAsia"/>
                <w:sz w:val="20"/>
                <w:szCs w:val="20"/>
              </w:rPr>
              <w:t>2</w:t>
            </w:r>
            <w:r>
              <w:rPr>
                <w:rFonts w:hint="eastAsia" w:asciiTheme="minorEastAsia" w:hAnsiTheme="minorEastAsia" w:eastAsiaTheme="minorEastAsia"/>
                <w:sz w:val="20"/>
                <w:szCs w:val="20"/>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66" w:type="dxa"/>
            <w:vMerge w:val="continue"/>
            <w:vAlign w:val="center"/>
          </w:tcPr>
          <w:p>
            <w:pPr>
              <w:snapToGrid w:val="0"/>
              <w:jc w:val="center"/>
              <w:rPr>
                <w:rFonts w:asciiTheme="minorEastAsia" w:hAnsiTheme="minorEastAsia" w:eastAsiaTheme="minorEastAsia"/>
                <w:sz w:val="20"/>
                <w:szCs w:val="20"/>
              </w:rPr>
            </w:pPr>
          </w:p>
        </w:tc>
        <w:tc>
          <w:tcPr>
            <w:tcW w:w="1102" w:type="dxa"/>
            <w:vMerge w:val="continue"/>
            <w:vAlign w:val="center"/>
          </w:tcPr>
          <w:p>
            <w:pPr>
              <w:snapToGrid w:val="0"/>
              <w:jc w:val="center"/>
              <w:rPr>
                <w:rFonts w:asciiTheme="minorEastAsia" w:hAnsiTheme="minorEastAsia" w:eastAsiaTheme="minorEastAsia"/>
                <w:sz w:val="20"/>
                <w:szCs w:val="20"/>
              </w:rPr>
            </w:pPr>
          </w:p>
        </w:tc>
        <w:tc>
          <w:tcPr>
            <w:tcW w:w="1134" w:type="dxa"/>
            <w:vMerge w:val="restart"/>
            <w:vAlign w:val="center"/>
          </w:tcPr>
          <w:p>
            <w:pPr>
              <w:snapToGrid w:val="0"/>
              <w:jc w:val="center"/>
              <w:rPr>
                <w:rFonts w:asciiTheme="minorEastAsia" w:hAnsiTheme="minorEastAsia" w:eastAsiaTheme="minorEastAsia"/>
                <w:sz w:val="20"/>
                <w:szCs w:val="20"/>
              </w:rPr>
            </w:pPr>
            <w:r>
              <w:rPr>
                <w:rFonts w:hint="eastAsia" w:asciiTheme="minorEastAsia" w:hAnsiTheme="minorEastAsia" w:eastAsiaTheme="minorEastAsia"/>
                <w:sz w:val="20"/>
                <w:szCs w:val="20"/>
              </w:rPr>
              <w:t>社团活动</w:t>
            </w:r>
          </w:p>
        </w:tc>
        <w:tc>
          <w:tcPr>
            <w:tcW w:w="6269" w:type="dxa"/>
            <w:vAlign w:val="center"/>
          </w:tcPr>
          <w:p>
            <w:pPr>
              <w:snapToGrid w:val="0"/>
              <w:jc w:val="left"/>
              <w:rPr>
                <w:rFonts w:asciiTheme="minorEastAsia" w:hAnsiTheme="minorEastAsia" w:eastAsiaTheme="minorEastAsia"/>
                <w:sz w:val="20"/>
                <w:szCs w:val="20"/>
              </w:rPr>
            </w:pPr>
            <w:r>
              <w:rPr>
                <w:rFonts w:hint="eastAsia" w:asciiTheme="minorEastAsia" w:hAnsiTheme="minorEastAsia" w:eastAsiaTheme="minorEastAsia"/>
                <w:sz w:val="20"/>
                <w:szCs w:val="20"/>
              </w:rPr>
              <w:t>院团委副书记、院研究生会主席</w:t>
            </w:r>
          </w:p>
        </w:tc>
        <w:tc>
          <w:tcPr>
            <w:tcW w:w="2835" w:type="dxa"/>
            <w:vAlign w:val="center"/>
          </w:tcPr>
          <w:p>
            <w:pPr>
              <w:snapToGrid w:val="0"/>
              <w:jc w:val="center"/>
              <w:rPr>
                <w:rFonts w:asciiTheme="minorEastAsia" w:hAnsiTheme="minorEastAsia" w:eastAsiaTheme="minorEastAsia"/>
                <w:sz w:val="20"/>
                <w:szCs w:val="20"/>
              </w:rPr>
            </w:pPr>
            <w:r>
              <w:rPr>
                <w:rFonts w:asciiTheme="minorEastAsia" w:hAnsiTheme="minorEastAsia" w:eastAsiaTheme="minorEastAsia"/>
                <w:sz w:val="20"/>
                <w:szCs w:val="20"/>
              </w:rPr>
              <w:t>1</w:t>
            </w:r>
            <w:r>
              <w:rPr>
                <w:rFonts w:hint="eastAsia" w:asciiTheme="minorEastAsia" w:hAnsiTheme="minorEastAsia" w:eastAsiaTheme="minorEastAsia"/>
                <w:sz w:val="20"/>
                <w:szCs w:val="2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66" w:type="dxa"/>
            <w:vMerge w:val="continue"/>
            <w:vAlign w:val="center"/>
          </w:tcPr>
          <w:p>
            <w:pPr>
              <w:snapToGrid w:val="0"/>
              <w:jc w:val="center"/>
              <w:rPr>
                <w:rFonts w:asciiTheme="minorEastAsia" w:hAnsiTheme="minorEastAsia" w:eastAsiaTheme="minorEastAsia"/>
                <w:sz w:val="20"/>
                <w:szCs w:val="20"/>
              </w:rPr>
            </w:pPr>
          </w:p>
        </w:tc>
        <w:tc>
          <w:tcPr>
            <w:tcW w:w="1102" w:type="dxa"/>
            <w:vMerge w:val="continue"/>
            <w:vAlign w:val="center"/>
          </w:tcPr>
          <w:p>
            <w:pPr>
              <w:snapToGrid w:val="0"/>
              <w:jc w:val="center"/>
              <w:rPr>
                <w:rFonts w:asciiTheme="minorEastAsia" w:hAnsiTheme="minorEastAsia" w:eastAsiaTheme="minorEastAsia"/>
                <w:sz w:val="20"/>
                <w:szCs w:val="20"/>
              </w:rPr>
            </w:pPr>
          </w:p>
        </w:tc>
        <w:tc>
          <w:tcPr>
            <w:tcW w:w="1134" w:type="dxa"/>
            <w:vMerge w:val="continue"/>
            <w:vAlign w:val="center"/>
          </w:tcPr>
          <w:p>
            <w:pPr>
              <w:snapToGrid w:val="0"/>
              <w:jc w:val="center"/>
              <w:rPr>
                <w:rFonts w:asciiTheme="minorEastAsia" w:hAnsiTheme="minorEastAsia" w:eastAsiaTheme="minorEastAsia"/>
                <w:sz w:val="20"/>
                <w:szCs w:val="20"/>
              </w:rPr>
            </w:pPr>
          </w:p>
        </w:tc>
        <w:tc>
          <w:tcPr>
            <w:tcW w:w="6269" w:type="dxa"/>
            <w:vAlign w:val="center"/>
          </w:tcPr>
          <w:p>
            <w:pPr>
              <w:snapToGrid w:val="0"/>
              <w:jc w:val="left"/>
              <w:rPr>
                <w:rFonts w:asciiTheme="minorEastAsia" w:hAnsiTheme="minorEastAsia" w:eastAsiaTheme="minorEastAsia"/>
                <w:sz w:val="20"/>
                <w:szCs w:val="20"/>
              </w:rPr>
            </w:pPr>
            <w:r>
              <w:rPr>
                <w:rFonts w:hint="eastAsia" w:asciiTheme="minorEastAsia" w:hAnsiTheme="minorEastAsia" w:eastAsiaTheme="minorEastAsia"/>
                <w:sz w:val="20"/>
                <w:szCs w:val="20"/>
              </w:rPr>
              <w:t>院研究生会副主席、秘书长</w:t>
            </w:r>
          </w:p>
        </w:tc>
        <w:tc>
          <w:tcPr>
            <w:tcW w:w="2835" w:type="dxa"/>
            <w:vAlign w:val="center"/>
          </w:tcPr>
          <w:p>
            <w:pPr>
              <w:snapToGrid w:val="0"/>
              <w:jc w:val="center"/>
              <w:rPr>
                <w:rFonts w:asciiTheme="minorEastAsia" w:hAnsiTheme="minorEastAsia" w:eastAsiaTheme="minorEastAsia"/>
                <w:sz w:val="20"/>
                <w:szCs w:val="20"/>
              </w:rPr>
            </w:pPr>
            <w:r>
              <w:rPr>
                <w:rFonts w:asciiTheme="minorEastAsia" w:hAnsiTheme="minorEastAsia" w:eastAsiaTheme="minorEastAsia"/>
                <w:sz w:val="20"/>
                <w:szCs w:val="20"/>
              </w:rPr>
              <w:t>0.5</w:t>
            </w:r>
            <w:r>
              <w:rPr>
                <w:rFonts w:hint="eastAsia" w:asciiTheme="minorEastAsia" w:hAnsiTheme="minorEastAsia" w:eastAsiaTheme="minorEastAsia"/>
                <w:sz w:val="20"/>
                <w:szCs w:val="20"/>
              </w:rPr>
              <w:t>分</w:t>
            </w:r>
          </w:p>
        </w:tc>
      </w:tr>
    </w:tbl>
    <w:p>
      <w:pPr>
        <w:spacing w:line="360" w:lineRule="auto"/>
        <w:jc w:val="left"/>
        <w:textAlignment w:val="baseline"/>
        <w:rPr>
          <w:rFonts w:hint="eastAsia" w:ascii="仿宋_GB2312" w:hAnsi="仿宋_GB2312" w:eastAsia="仿宋_GB2312"/>
          <w:sz w:val="32"/>
          <w:szCs w:val="32"/>
        </w:rPr>
      </w:pPr>
    </w:p>
    <w:sectPr>
      <w:pgSz w:w="16838" w:h="11906" w:orient="landscape"/>
      <w:pgMar w:top="1588" w:right="1440" w:bottom="1588"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Heiti SC Light">
    <w:altName w:val="Arial Unicode MS"/>
    <w:panose1 w:val="00000000000000000000"/>
    <w:charset w:val="50"/>
    <w:family w:val="auto"/>
    <w:pitch w:val="default"/>
    <w:sig w:usb0="00000000" w:usb1="00000000" w:usb2="00000010" w:usb3="00000000" w:csb0="003E0000" w:csb1="00000000"/>
  </w:font>
  <w:font w:name="仿宋_GB2312">
    <w:altName w:val="仿宋"/>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1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1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before="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before="1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888"/>
    <w:rsid w:val="00004F4C"/>
    <w:rsid w:val="00014B77"/>
    <w:rsid w:val="001C08DF"/>
    <w:rsid w:val="00336A2A"/>
    <w:rsid w:val="003E2888"/>
    <w:rsid w:val="00477337"/>
    <w:rsid w:val="004A2B26"/>
    <w:rsid w:val="00593EC2"/>
    <w:rsid w:val="005E10CE"/>
    <w:rsid w:val="00654601"/>
    <w:rsid w:val="0087761D"/>
    <w:rsid w:val="00962784"/>
    <w:rsid w:val="009E6996"/>
    <w:rsid w:val="00A66CFF"/>
    <w:rsid w:val="00A8127F"/>
    <w:rsid w:val="00C30C05"/>
    <w:rsid w:val="00DD42E4"/>
    <w:rsid w:val="00E56C0E"/>
    <w:rsid w:val="00EF5012"/>
    <w:rsid w:val="00F7436C"/>
    <w:rsid w:val="025D081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2"/>
    <w:semiHidden/>
    <w:unhideWhenUsed/>
    <w:qFormat/>
    <w:uiPriority w:val="99"/>
    <w:rPr>
      <w:rFonts w:ascii="Heiti SC Light" w:eastAsia="Heiti SC Light"/>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8">
    <w:name w:val="页眉 字符"/>
    <w:basedOn w:val="7"/>
    <w:link w:val="4"/>
    <w:qFormat/>
    <w:uiPriority w:val="99"/>
    <w:rPr>
      <w:rFonts w:ascii="Times New Roman" w:hAnsi="Times New Roman" w:eastAsia="宋体" w:cs="Times New Roman"/>
      <w:sz w:val="18"/>
      <w:szCs w:val="18"/>
    </w:rPr>
  </w:style>
  <w:style w:type="character" w:customStyle="1" w:styleId="9">
    <w:name w:val="页脚 字符"/>
    <w:basedOn w:val="7"/>
    <w:link w:val="3"/>
    <w:qFormat/>
    <w:uiPriority w:val="99"/>
    <w:rPr>
      <w:rFonts w:ascii="Times New Roman" w:hAnsi="Times New Roman" w:eastAsia="宋体" w:cs="Times New Roman"/>
      <w:sz w:val="18"/>
      <w:szCs w:val="18"/>
    </w:rPr>
  </w:style>
  <w:style w:type="paragraph" w:styleId="10">
    <w:name w:val="List Paragraph"/>
    <w:basedOn w:val="1"/>
    <w:qFormat/>
    <w:uiPriority w:val="34"/>
    <w:pPr>
      <w:ind w:firstLine="420" w:firstLineChars="200"/>
    </w:pPr>
    <w:rPr>
      <w:rFonts w:ascii="Calibri" w:hAnsi="Calibri"/>
      <w:szCs w:val="22"/>
    </w:rPr>
  </w:style>
  <w:style w:type="paragraph" w:styleId="11">
    <w:name w:val="No Spacing"/>
    <w:qFormat/>
    <w:uiPriority w:val="1"/>
    <w:pPr>
      <w:widowControl w:val="0"/>
      <w:spacing w:beforeLines="50"/>
    </w:pPr>
    <w:rPr>
      <w:rFonts w:eastAsia="微软雅黑" w:asciiTheme="minorHAnsi" w:hAnsiTheme="minorHAnsi" w:cstheme="minorBidi"/>
      <w:kern w:val="2"/>
      <w:sz w:val="22"/>
      <w:szCs w:val="22"/>
      <w:lang w:val="en-US" w:eastAsia="zh-CN" w:bidi="ar-SA"/>
    </w:rPr>
  </w:style>
  <w:style w:type="character" w:customStyle="1" w:styleId="12">
    <w:name w:val="批注框文本 字符"/>
    <w:basedOn w:val="7"/>
    <w:link w:val="2"/>
    <w:semiHidden/>
    <w:qFormat/>
    <w:uiPriority w:val="99"/>
    <w:rPr>
      <w:rFonts w:ascii="Heiti SC Light" w:hAnsi="Times New Roman" w:eastAsia="Heiti SC Light"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A241BA-C723-4CBB-8468-4FA7AAFCE888}">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10</Pages>
  <Words>712</Words>
  <Characters>4059</Characters>
  <Lines>33</Lines>
  <Paragraphs>9</Paragraphs>
  <TotalTime>21</TotalTime>
  <ScaleCrop>false</ScaleCrop>
  <LinksUpToDate>false</LinksUpToDate>
  <CharactersWithSpaces>4762</CharactersWithSpaces>
  <Application>WPS Office_11.1.0.8567_F1E327BC-269C-435d-A152-05C5408002CA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2019-04-11T08:59:00Z</dcterms:created>
  <dc:creator>User</dc:creator>
  <cp:lastModifiedBy>SKY-XGB</cp:lastModifiedBy>
  <cp:lastPrinted>2019-04-12T04:17:00Z</cp:lastPrinted>
  <dcterms:modified xsi:type="dcterms:W3CDTF">2019-04-12T09:04:52Z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ies>
</file>