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91F" w:rsidRPr="00577123" w:rsidRDefault="00577123" w:rsidP="00577123">
      <w:pPr>
        <w:spacing w:before="240" w:after="240" w:line="360" w:lineRule="auto"/>
        <w:jc w:val="center"/>
        <w:rPr>
          <w:rFonts w:ascii="Times New Roman" w:hAnsi="Times New Roman" w:cs="Times New Roman"/>
          <w:b/>
          <w:sz w:val="32"/>
          <w:szCs w:val="32"/>
        </w:rPr>
      </w:pPr>
      <w:r w:rsidRPr="00577123">
        <w:rPr>
          <w:rFonts w:ascii="Times New Roman" w:hAnsi="Times New Roman" w:cs="Times New Roman"/>
          <w:b/>
          <w:sz w:val="32"/>
          <w:szCs w:val="32"/>
        </w:rPr>
        <w:t>我室</w:t>
      </w:r>
      <w:r w:rsidRPr="00577123">
        <w:rPr>
          <w:rFonts w:ascii="Times New Roman" w:hAnsi="Times New Roman" w:cs="Times New Roman"/>
          <w:b/>
          <w:sz w:val="32"/>
          <w:szCs w:val="32"/>
        </w:rPr>
        <w:t>李剑峰</w:t>
      </w:r>
      <w:r w:rsidRPr="00577123">
        <w:rPr>
          <w:rFonts w:ascii="Times New Roman" w:hAnsi="Times New Roman" w:cs="Times New Roman"/>
          <w:b/>
          <w:sz w:val="32"/>
          <w:szCs w:val="32"/>
        </w:rPr>
        <w:t>教授</w:t>
      </w:r>
      <w:r w:rsidRPr="00577123">
        <w:rPr>
          <w:rFonts w:ascii="Times New Roman" w:hAnsi="Times New Roman" w:cs="Times New Roman"/>
          <w:b/>
          <w:sz w:val="32"/>
          <w:szCs w:val="32"/>
        </w:rPr>
        <w:t>团队揭示植物几丁质信号转导新机制</w:t>
      </w:r>
      <w:bookmarkStart w:id="0" w:name="_GoBack"/>
      <w:bookmarkEnd w:id="0"/>
    </w:p>
    <w:p w:rsidR="0019791F" w:rsidRPr="00F166D5" w:rsidRDefault="00577123" w:rsidP="00F166D5">
      <w:pPr>
        <w:spacing w:line="360" w:lineRule="auto"/>
        <w:ind w:firstLine="420"/>
        <w:rPr>
          <w:rFonts w:ascii="Times New Roman" w:hAnsi="Times New Roman" w:cs="Times New Roman"/>
          <w:sz w:val="24"/>
        </w:rPr>
      </w:pPr>
      <w:r w:rsidRPr="00F166D5">
        <w:rPr>
          <w:rFonts w:ascii="Times New Roman" w:hAnsi="Times New Roman" w:cs="Times New Roman"/>
          <w:sz w:val="24"/>
        </w:rPr>
        <w:t>植物是固着生物，依靠先天免疫来克服病原体的挑战。为了确保强有力的免疫反应，植物已经进化出一个复杂的监控网络，由质膜（</w:t>
      </w:r>
      <w:r w:rsidRPr="00F166D5">
        <w:rPr>
          <w:rFonts w:ascii="Times New Roman" w:hAnsi="Times New Roman" w:cs="Times New Roman"/>
          <w:sz w:val="24"/>
        </w:rPr>
        <w:t>PM</w:t>
      </w:r>
      <w:r w:rsidRPr="00F166D5">
        <w:rPr>
          <w:rFonts w:ascii="Times New Roman" w:hAnsi="Times New Roman" w:cs="Times New Roman"/>
          <w:sz w:val="24"/>
        </w:rPr>
        <w:t>）和细胞内的免疫受体组成，它们组合起来确定入侵病原体的身份。驻守</w:t>
      </w:r>
      <w:r w:rsidRPr="00F166D5">
        <w:rPr>
          <w:rFonts w:ascii="Times New Roman" w:hAnsi="Times New Roman" w:cs="Times New Roman"/>
          <w:sz w:val="24"/>
        </w:rPr>
        <w:t>PM</w:t>
      </w:r>
      <w:r w:rsidRPr="00F166D5">
        <w:rPr>
          <w:rFonts w:ascii="Times New Roman" w:hAnsi="Times New Roman" w:cs="Times New Roman"/>
          <w:sz w:val="24"/>
        </w:rPr>
        <w:t>的免疫受体，也被称为模式识别受体（</w:t>
      </w:r>
      <w:r w:rsidRPr="00F166D5">
        <w:rPr>
          <w:rFonts w:ascii="Times New Roman" w:hAnsi="Times New Roman" w:cs="Times New Roman"/>
          <w:sz w:val="24"/>
        </w:rPr>
        <w:t>PRRs</w:t>
      </w:r>
      <w:r w:rsidRPr="00F166D5">
        <w:rPr>
          <w:rFonts w:ascii="Times New Roman" w:hAnsi="Times New Roman" w:cs="Times New Roman"/>
          <w:sz w:val="24"/>
        </w:rPr>
        <w:t>），是受体激酶或受体样蛋白（</w:t>
      </w:r>
      <w:r w:rsidRPr="00F166D5">
        <w:rPr>
          <w:rFonts w:ascii="Times New Roman" w:hAnsi="Times New Roman" w:cs="Times New Roman"/>
          <w:sz w:val="24"/>
        </w:rPr>
        <w:t>RLPs</w:t>
      </w:r>
      <w:r w:rsidRPr="00F166D5">
        <w:rPr>
          <w:rFonts w:ascii="Times New Roman" w:hAnsi="Times New Roman" w:cs="Times New Roman"/>
          <w:sz w:val="24"/>
        </w:rPr>
        <w:t>），可以感知微生物相关的分子模式（</w:t>
      </w:r>
      <w:r w:rsidRPr="00F166D5">
        <w:rPr>
          <w:rFonts w:ascii="Times New Roman" w:hAnsi="Times New Roman" w:cs="Times New Roman"/>
          <w:sz w:val="24"/>
        </w:rPr>
        <w:t>MAMPs</w:t>
      </w:r>
      <w:r w:rsidRPr="00F166D5">
        <w:rPr>
          <w:rFonts w:ascii="Times New Roman" w:hAnsi="Times New Roman" w:cs="Times New Roman"/>
          <w:sz w:val="24"/>
        </w:rPr>
        <w:t>）。</w:t>
      </w:r>
      <w:r w:rsidRPr="00F166D5">
        <w:rPr>
          <w:rFonts w:ascii="Times New Roman" w:hAnsi="Times New Roman" w:cs="Times New Roman"/>
          <w:sz w:val="24"/>
        </w:rPr>
        <w:t>MAMP</w:t>
      </w:r>
      <w:r w:rsidRPr="00F166D5">
        <w:rPr>
          <w:rFonts w:ascii="Times New Roman" w:hAnsi="Times New Roman" w:cs="Times New Roman"/>
          <w:sz w:val="24"/>
        </w:rPr>
        <w:t>触发的免疫力（</w:t>
      </w:r>
      <w:r w:rsidRPr="00F166D5">
        <w:rPr>
          <w:rFonts w:ascii="Times New Roman" w:hAnsi="Times New Roman" w:cs="Times New Roman"/>
          <w:sz w:val="24"/>
        </w:rPr>
        <w:t>PTI</w:t>
      </w:r>
      <w:r w:rsidRPr="00F166D5">
        <w:rPr>
          <w:rFonts w:ascii="Times New Roman" w:hAnsi="Times New Roman" w:cs="Times New Roman"/>
          <w:sz w:val="24"/>
        </w:rPr>
        <w:t>）使植物对广泛的病原体具有基本的抵抗力。相比之下，细胞内免疫受体是核苷酸结合的富含亮氨酸的重复蛋白（</w:t>
      </w:r>
      <w:r w:rsidRPr="00F166D5">
        <w:rPr>
          <w:rFonts w:ascii="Times New Roman" w:hAnsi="Times New Roman" w:cs="Times New Roman"/>
          <w:sz w:val="24"/>
        </w:rPr>
        <w:t>NLR</w:t>
      </w:r>
      <w:r w:rsidRPr="00F166D5">
        <w:rPr>
          <w:rFonts w:ascii="Times New Roman" w:hAnsi="Times New Roman" w:cs="Times New Roman"/>
          <w:sz w:val="24"/>
        </w:rPr>
        <w:t>），其</w:t>
      </w:r>
      <w:r w:rsidRPr="00F166D5">
        <w:rPr>
          <w:rFonts w:ascii="Times New Roman" w:hAnsi="Times New Roman" w:cs="Times New Roman"/>
          <w:sz w:val="24"/>
        </w:rPr>
        <w:t>N</w:t>
      </w:r>
      <w:r w:rsidRPr="00F166D5">
        <w:rPr>
          <w:rFonts w:ascii="Times New Roman" w:hAnsi="Times New Roman" w:cs="Times New Roman"/>
          <w:sz w:val="24"/>
        </w:rPr>
        <w:t>端有</w:t>
      </w:r>
      <w:r w:rsidRPr="00F166D5">
        <w:rPr>
          <w:rFonts w:ascii="Times New Roman" w:hAnsi="Times New Roman" w:cs="Times New Roman"/>
          <w:sz w:val="24"/>
        </w:rPr>
        <w:t>Toll-interleukin-1</w:t>
      </w:r>
      <w:r w:rsidRPr="00F166D5">
        <w:rPr>
          <w:rFonts w:ascii="Times New Roman" w:hAnsi="Times New Roman" w:cs="Times New Roman"/>
          <w:sz w:val="24"/>
        </w:rPr>
        <w:t>受体（</w:t>
      </w:r>
      <w:r w:rsidRPr="00F166D5">
        <w:rPr>
          <w:rFonts w:ascii="Times New Roman" w:hAnsi="Times New Roman" w:cs="Times New Roman"/>
          <w:sz w:val="24"/>
        </w:rPr>
        <w:t>TIR</w:t>
      </w:r>
      <w:r w:rsidRPr="00F166D5">
        <w:rPr>
          <w:rFonts w:ascii="Times New Roman" w:hAnsi="Times New Roman" w:cs="Times New Roman"/>
          <w:sz w:val="24"/>
        </w:rPr>
        <w:t>）或卷曲结构域，专门用于检测病原体传递的细胞内效应蛋白。效应蛋白触发免疫（</w:t>
      </w:r>
      <w:r w:rsidRPr="00F166D5">
        <w:rPr>
          <w:rFonts w:ascii="Times New Roman" w:hAnsi="Times New Roman" w:cs="Times New Roman"/>
          <w:sz w:val="24"/>
        </w:rPr>
        <w:t>ETI</w:t>
      </w:r>
      <w:r w:rsidRPr="00F166D5">
        <w:rPr>
          <w:rFonts w:ascii="Times New Roman" w:hAnsi="Times New Roman" w:cs="Times New Roman"/>
          <w:sz w:val="24"/>
        </w:rPr>
        <w:t>）使植物对分泌相应效应蛋白的病原体具有更具体和强烈的抵抗力。</w:t>
      </w:r>
      <w:r w:rsidRPr="00F166D5">
        <w:rPr>
          <w:rFonts w:ascii="Times New Roman" w:hAnsi="Times New Roman" w:cs="Times New Roman"/>
          <w:sz w:val="24"/>
        </w:rPr>
        <w:t>PTI</w:t>
      </w:r>
      <w:r w:rsidRPr="00F166D5">
        <w:rPr>
          <w:rFonts w:ascii="Times New Roman" w:hAnsi="Times New Roman" w:cs="Times New Roman"/>
          <w:sz w:val="24"/>
        </w:rPr>
        <w:t>和</w:t>
      </w:r>
      <w:r w:rsidRPr="00F166D5">
        <w:rPr>
          <w:rFonts w:ascii="Times New Roman" w:hAnsi="Times New Roman" w:cs="Times New Roman"/>
          <w:sz w:val="24"/>
        </w:rPr>
        <w:t>ETI</w:t>
      </w:r>
      <w:r w:rsidRPr="00F166D5">
        <w:rPr>
          <w:rFonts w:ascii="Times New Roman" w:hAnsi="Times New Roman" w:cs="Times New Roman"/>
          <w:sz w:val="24"/>
        </w:rPr>
        <w:t>不是两个独立的实体，而是最近被发现可以相互促进，以协同的方式运作。</w:t>
      </w:r>
    </w:p>
    <w:p w:rsidR="0019791F" w:rsidRDefault="00577123" w:rsidP="00F166D5">
      <w:pPr>
        <w:spacing w:line="360" w:lineRule="auto"/>
        <w:ind w:firstLine="420"/>
        <w:rPr>
          <w:rFonts w:ascii="Times New Roman" w:hAnsi="Times New Roman" w:cs="Times New Roman"/>
          <w:sz w:val="24"/>
        </w:rPr>
      </w:pPr>
      <w:r w:rsidRPr="00F166D5">
        <w:rPr>
          <w:rFonts w:ascii="Times New Roman" w:hAnsi="Times New Roman" w:cs="Times New Roman"/>
          <w:sz w:val="24"/>
        </w:rPr>
        <w:t>2022</w:t>
      </w:r>
      <w:r w:rsidRPr="00F166D5">
        <w:rPr>
          <w:rFonts w:ascii="Times New Roman" w:hAnsi="Times New Roman" w:cs="Times New Roman"/>
          <w:sz w:val="24"/>
        </w:rPr>
        <w:t>年</w:t>
      </w:r>
      <w:r w:rsidRPr="00F166D5">
        <w:rPr>
          <w:rFonts w:ascii="Times New Roman" w:hAnsi="Times New Roman" w:cs="Times New Roman"/>
          <w:sz w:val="24"/>
        </w:rPr>
        <w:t>7</w:t>
      </w:r>
      <w:r w:rsidRPr="00F166D5">
        <w:rPr>
          <w:rFonts w:ascii="Times New Roman" w:hAnsi="Times New Roman" w:cs="Times New Roman"/>
          <w:sz w:val="24"/>
        </w:rPr>
        <w:t>月</w:t>
      </w:r>
      <w:r w:rsidRPr="00F166D5">
        <w:rPr>
          <w:rFonts w:ascii="Times New Roman" w:hAnsi="Times New Roman" w:cs="Times New Roman"/>
          <w:sz w:val="24"/>
        </w:rPr>
        <w:t>18</w:t>
      </w:r>
      <w:r w:rsidRPr="00F166D5">
        <w:rPr>
          <w:rFonts w:ascii="Times New Roman" w:hAnsi="Times New Roman" w:cs="Times New Roman"/>
          <w:sz w:val="24"/>
        </w:rPr>
        <w:t>日，国际权威学术期刊</w:t>
      </w:r>
      <w:r w:rsidRPr="00F166D5">
        <w:rPr>
          <w:rFonts w:ascii="Times New Roman" w:hAnsi="Times New Roman" w:cs="Times New Roman"/>
          <w:sz w:val="24"/>
        </w:rPr>
        <w:t>Nature Plants</w:t>
      </w:r>
      <w:r w:rsidRPr="00F166D5">
        <w:rPr>
          <w:rFonts w:ascii="Times New Roman" w:hAnsi="Times New Roman" w:cs="Times New Roman"/>
          <w:sz w:val="24"/>
        </w:rPr>
        <w:t>发表了</w:t>
      </w:r>
      <w:r w:rsidR="00F166D5">
        <w:rPr>
          <w:rFonts w:ascii="Times New Roman" w:hAnsi="Times New Roman" w:cs="Times New Roman" w:hint="eastAsia"/>
          <w:sz w:val="24"/>
        </w:rPr>
        <w:t>我室</w:t>
      </w:r>
      <w:r w:rsidRPr="00F166D5">
        <w:rPr>
          <w:rFonts w:ascii="Times New Roman" w:hAnsi="Times New Roman" w:cs="Times New Roman"/>
          <w:sz w:val="24"/>
        </w:rPr>
        <w:t>李剑峰</w:t>
      </w:r>
      <w:r w:rsidR="00F166D5">
        <w:rPr>
          <w:rFonts w:ascii="Times New Roman" w:hAnsi="Times New Roman" w:cs="Times New Roman" w:hint="eastAsia"/>
          <w:sz w:val="24"/>
        </w:rPr>
        <w:t>教授</w:t>
      </w:r>
      <w:r w:rsidRPr="00F166D5">
        <w:rPr>
          <w:rFonts w:ascii="Times New Roman" w:hAnsi="Times New Roman" w:cs="Times New Roman"/>
          <w:sz w:val="24"/>
        </w:rPr>
        <w:t>团队的最新相关研究成果，题为</w:t>
      </w:r>
      <w:r w:rsidRPr="00F166D5">
        <w:rPr>
          <w:rFonts w:ascii="Times New Roman" w:hAnsi="Times New Roman" w:cs="Times New Roman"/>
          <w:sz w:val="24"/>
        </w:rPr>
        <w:t>Plasma membrane-</w:t>
      </w:r>
      <w:proofErr w:type="spellStart"/>
      <w:r w:rsidRPr="00F166D5">
        <w:rPr>
          <w:rFonts w:ascii="Times New Roman" w:hAnsi="Times New Roman" w:cs="Times New Roman"/>
          <w:sz w:val="24"/>
        </w:rPr>
        <w:t>nucleo</w:t>
      </w:r>
      <w:proofErr w:type="spellEnd"/>
      <w:r w:rsidRPr="00F166D5">
        <w:rPr>
          <w:rFonts w:ascii="Times New Roman" w:hAnsi="Times New Roman" w:cs="Times New Roman"/>
          <w:sz w:val="24"/>
        </w:rPr>
        <w:t>-cytoplasmic coordination of a receptor-lik</w:t>
      </w:r>
      <w:r w:rsidRPr="00F166D5">
        <w:rPr>
          <w:rFonts w:ascii="Times New Roman" w:hAnsi="Times New Roman" w:cs="Times New Roman"/>
          <w:sz w:val="24"/>
        </w:rPr>
        <w:t>e cytoplasmic kinase promotes EDS1-dependent plant immunity</w:t>
      </w:r>
      <w:r w:rsidRPr="00F166D5">
        <w:rPr>
          <w:rFonts w:ascii="Times New Roman" w:hAnsi="Times New Roman" w:cs="Times New Roman"/>
          <w:sz w:val="24"/>
        </w:rPr>
        <w:t>的研究论文。</w:t>
      </w:r>
    </w:p>
    <w:p w:rsidR="00F166D5" w:rsidRPr="00F166D5" w:rsidRDefault="00F166D5" w:rsidP="00F166D5">
      <w:pPr>
        <w:spacing w:line="360" w:lineRule="auto"/>
        <w:ind w:firstLine="420"/>
        <w:rPr>
          <w:rFonts w:ascii="Times New Roman" w:hAnsi="Times New Roman" w:cs="Times New Roman" w:hint="eastAsia"/>
          <w:sz w:val="24"/>
        </w:rPr>
      </w:pPr>
      <w:r>
        <w:rPr>
          <w:noProof/>
        </w:rPr>
        <w:drawing>
          <wp:inline distT="0" distB="0" distL="0" distR="0" wp14:anchorId="01F075A8" wp14:editId="76086644">
            <wp:extent cx="5274310" cy="2159171"/>
            <wp:effectExtent l="0" t="0" r="2540" b="0"/>
            <wp:docPr id="3" name="图片 3" descr="https://pics6.baidu.com/feed/9f2f070828381f3052342496b3d2e5026e06f03a.jpeg?token=52df74e6971b3a6bd117a37574c393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ics6.baidu.com/feed/9f2f070828381f3052342496b3d2e5026e06f03a.jpeg?token=52df74e6971b3a6bd117a37574c393a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2159171"/>
                    </a:xfrm>
                    <a:prstGeom prst="rect">
                      <a:avLst/>
                    </a:prstGeom>
                    <a:noFill/>
                    <a:ln>
                      <a:noFill/>
                    </a:ln>
                  </pic:spPr>
                </pic:pic>
              </a:graphicData>
            </a:graphic>
          </wp:inline>
        </w:drawing>
      </w:r>
    </w:p>
    <w:p w:rsidR="00F166D5" w:rsidRDefault="00F166D5" w:rsidP="00F166D5">
      <w:pPr>
        <w:spacing w:line="360" w:lineRule="auto"/>
        <w:ind w:firstLine="420"/>
        <w:rPr>
          <w:rFonts w:ascii="Times New Roman" w:hAnsi="Times New Roman" w:cs="Times New Roman"/>
          <w:sz w:val="24"/>
        </w:rPr>
      </w:pPr>
      <w:r w:rsidRPr="00F166D5">
        <w:rPr>
          <w:rFonts w:ascii="Times New Roman" w:hAnsi="Times New Roman" w:cs="Times New Roman" w:hint="eastAsia"/>
          <w:sz w:val="24"/>
        </w:rPr>
        <w:t>植物利用细胞表面的免疫受体来识别病原体的特异性模式来唤起基础免疫。众所周知，</w:t>
      </w:r>
      <w:r w:rsidRPr="00F166D5">
        <w:rPr>
          <w:rFonts w:ascii="Times New Roman" w:hAnsi="Times New Roman" w:cs="Times New Roman" w:hint="eastAsia"/>
          <w:sz w:val="24"/>
        </w:rPr>
        <w:t>ENHANCED DISEASE SUSCEPTIBILITY</w:t>
      </w:r>
      <w:r w:rsidRPr="00F166D5">
        <w:rPr>
          <w:rFonts w:ascii="Times New Roman" w:hAnsi="Times New Roman" w:cs="Times New Roman" w:hint="eastAsia"/>
          <w:sz w:val="24"/>
        </w:rPr>
        <w:t>（</w:t>
      </w:r>
      <w:r w:rsidRPr="00F166D5">
        <w:rPr>
          <w:rFonts w:ascii="Times New Roman" w:hAnsi="Times New Roman" w:cs="Times New Roman" w:hint="eastAsia"/>
          <w:sz w:val="24"/>
        </w:rPr>
        <w:t>EDS1</w:t>
      </w:r>
      <w:r w:rsidRPr="00F166D5">
        <w:rPr>
          <w:rFonts w:ascii="Times New Roman" w:hAnsi="Times New Roman" w:cs="Times New Roman" w:hint="eastAsia"/>
          <w:sz w:val="24"/>
        </w:rPr>
        <w:t>）对植物的基础免疫至关重要，而其通过模式识别的激活机制仍然是个谜。在这篇文章中，科研人员表明，真菌模式几丁质诱导拟南</w:t>
      </w:r>
      <w:proofErr w:type="gramStart"/>
      <w:r w:rsidRPr="00F166D5">
        <w:rPr>
          <w:rFonts w:ascii="Times New Roman" w:hAnsi="Times New Roman" w:cs="Times New Roman" w:hint="eastAsia"/>
          <w:sz w:val="24"/>
        </w:rPr>
        <w:t>芥</w:t>
      </w:r>
      <w:proofErr w:type="gramEnd"/>
      <w:r w:rsidRPr="00F166D5">
        <w:rPr>
          <w:rFonts w:ascii="Times New Roman" w:hAnsi="Times New Roman" w:cs="Times New Roman" w:hint="eastAsia"/>
          <w:sz w:val="24"/>
        </w:rPr>
        <w:t>中质膜锚定的受体样细胞质激酶</w:t>
      </w:r>
      <w:r w:rsidRPr="00F166D5">
        <w:rPr>
          <w:rFonts w:ascii="Times New Roman" w:hAnsi="Times New Roman" w:cs="Times New Roman" w:hint="eastAsia"/>
          <w:sz w:val="24"/>
        </w:rPr>
        <w:t>PBS1-LIKE 19</w:t>
      </w:r>
      <w:r w:rsidRPr="00F166D5">
        <w:rPr>
          <w:rFonts w:ascii="Times New Roman" w:hAnsi="Times New Roman" w:cs="Times New Roman" w:hint="eastAsia"/>
          <w:sz w:val="24"/>
        </w:rPr>
        <w:t>（</w:t>
      </w:r>
      <w:r w:rsidRPr="00F166D5">
        <w:rPr>
          <w:rFonts w:ascii="Times New Roman" w:hAnsi="Times New Roman" w:cs="Times New Roman" w:hint="eastAsia"/>
          <w:sz w:val="24"/>
        </w:rPr>
        <w:t>PBL19</w:t>
      </w:r>
      <w:r w:rsidRPr="00F166D5">
        <w:rPr>
          <w:rFonts w:ascii="Times New Roman" w:hAnsi="Times New Roman" w:cs="Times New Roman" w:hint="eastAsia"/>
          <w:sz w:val="24"/>
        </w:rPr>
        <w:t>）进行核易位。棕榈酰化缺陷的</w:t>
      </w:r>
      <w:r w:rsidRPr="00F166D5">
        <w:rPr>
          <w:rFonts w:ascii="Times New Roman" w:hAnsi="Times New Roman" w:cs="Times New Roman" w:hint="eastAsia"/>
          <w:sz w:val="24"/>
        </w:rPr>
        <w:t>PBL19C3A</w:t>
      </w:r>
      <w:r w:rsidRPr="00F166D5">
        <w:rPr>
          <w:rFonts w:ascii="Times New Roman" w:hAnsi="Times New Roman" w:cs="Times New Roman" w:hint="eastAsia"/>
          <w:sz w:val="24"/>
        </w:rPr>
        <w:t>变体不断驻留在细胞核中，主要通过</w:t>
      </w:r>
      <w:r w:rsidRPr="00F166D5">
        <w:rPr>
          <w:rFonts w:ascii="Times New Roman" w:hAnsi="Times New Roman" w:cs="Times New Roman" w:hint="eastAsia"/>
          <w:sz w:val="24"/>
        </w:rPr>
        <w:t>WRKY8</w:t>
      </w:r>
      <w:r w:rsidRPr="00F166D5">
        <w:rPr>
          <w:rFonts w:ascii="Times New Roman" w:hAnsi="Times New Roman" w:cs="Times New Roman" w:hint="eastAsia"/>
          <w:sz w:val="24"/>
        </w:rPr>
        <w:t>和</w:t>
      </w:r>
      <w:r w:rsidRPr="00F166D5">
        <w:rPr>
          <w:rFonts w:ascii="Times New Roman" w:hAnsi="Times New Roman" w:cs="Times New Roman" w:hint="eastAsia"/>
          <w:sz w:val="24"/>
        </w:rPr>
        <w:t>EDS1</w:t>
      </w:r>
      <w:r w:rsidRPr="00F166D5">
        <w:rPr>
          <w:rFonts w:ascii="Times New Roman" w:hAnsi="Times New Roman" w:cs="Times New Roman" w:hint="eastAsia"/>
          <w:sz w:val="24"/>
        </w:rPr>
        <w:t>依赖的组成型免疫来触发转录的自我扩增。意外的是，</w:t>
      </w:r>
      <w:r w:rsidRPr="00F166D5">
        <w:rPr>
          <w:rFonts w:ascii="Times New Roman" w:hAnsi="Times New Roman" w:cs="Times New Roman" w:hint="eastAsia"/>
          <w:sz w:val="24"/>
        </w:rPr>
        <w:lastRenderedPageBreak/>
        <w:t>缺乏</w:t>
      </w:r>
      <w:r w:rsidRPr="00F166D5">
        <w:rPr>
          <w:rFonts w:ascii="Times New Roman" w:hAnsi="Times New Roman" w:cs="Times New Roman" w:hint="eastAsia"/>
          <w:sz w:val="24"/>
        </w:rPr>
        <w:t>N</w:t>
      </w:r>
      <w:r w:rsidRPr="00F166D5">
        <w:rPr>
          <w:rFonts w:ascii="Times New Roman" w:hAnsi="Times New Roman" w:cs="Times New Roman" w:hint="eastAsia"/>
          <w:sz w:val="24"/>
        </w:rPr>
        <w:t>端核定位序列的</w:t>
      </w:r>
      <w:proofErr w:type="spellStart"/>
      <w:r w:rsidRPr="00F166D5">
        <w:rPr>
          <w:rFonts w:ascii="Times New Roman" w:hAnsi="Times New Roman" w:cs="Times New Roman" w:hint="eastAsia"/>
          <w:sz w:val="24"/>
        </w:rPr>
        <w:t>metacaspase</w:t>
      </w:r>
      <w:proofErr w:type="spellEnd"/>
      <w:r w:rsidRPr="00F166D5">
        <w:rPr>
          <w:rFonts w:ascii="Times New Roman" w:hAnsi="Times New Roman" w:cs="Times New Roman" w:hint="eastAsia"/>
          <w:sz w:val="24"/>
        </w:rPr>
        <w:t>清除的</w:t>
      </w:r>
      <w:r w:rsidRPr="00F166D5">
        <w:rPr>
          <w:rFonts w:ascii="Times New Roman" w:hAnsi="Times New Roman" w:cs="Times New Roman" w:hint="eastAsia"/>
          <w:sz w:val="24"/>
        </w:rPr>
        <w:t>PBL19</w:t>
      </w:r>
      <w:r w:rsidRPr="00F166D5">
        <w:rPr>
          <w:rFonts w:ascii="Times New Roman" w:hAnsi="Times New Roman" w:cs="Times New Roman" w:hint="eastAsia"/>
          <w:sz w:val="24"/>
        </w:rPr>
        <w:t>与细胞质中的</w:t>
      </w:r>
      <w:r w:rsidRPr="00F166D5">
        <w:rPr>
          <w:rFonts w:ascii="Times New Roman" w:hAnsi="Times New Roman" w:cs="Times New Roman" w:hint="eastAsia"/>
          <w:sz w:val="24"/>
        </w:rPr>
        <w:t>EDS1</w:t>
      </w:r>
      <w:r w:rsidRPr="00F166D5">
        <w:rPr>
          <w:rFonts w:ascii="Times New Roman" w:hAnsi="Times New Roman" w:cs="Times New Roman" w:hint="eastAsia"/>
          <w:sz w:val="24"/>
        </w:rPr>
        <w:t>特异性地相互作用并使其磷酸化。磷酸化的</w:t>
      </w:r>
      <w:r w:rsidRPr="00F166D5">
        <w:rPr>
          <w:rFonts w:ascii="Times New Roman" w:hAnsi="Times New Roman" w:cs="Times New Roman" w:hint="eastAsia"/>
          <w:sz w:val="24"/>
        </w:rPr>
        <w:t>EDS1</w:t>
      </w:r>
      <w:r w:rsidRPr="00F166D5">
        <w:rPr>
          <w:rFonts w:ascii="Times New Roman" w:hAnsi="Times New Roman" w:cs="Times New Roman" w:hint="eastAsia"/>
          <w:sz w:val="24"/>
        </w:rPr>
        <w:t>减弱了</w:t>
      </w:r>
      <w:r w:rsidRPr="00F166D5">
        <w:rPr>
          <w:rFonts w:ascii="Times New Roman" w:hAnsi="Times New Roman" w:cs="Times New Roman" w:hint="eastAsia"/>
          <w:sz w:val="24"/>
        </w:rPr>
        <w:t>PBL19</w:t>
      </w:r>
      <w:r w:rsidRPr="00F166D5">
        <w:rPr>
          <w:rFonts w:ascii="Times New Roman" w:hAnsi="Times New Roman" w:cs="Times New Roman" w:hint="eastAsia"/>
          <w:sz w:val="24"/>
          <w:vertAlign w:val="superscript"/>
        </w:rPr>
        <w:t>C3A</w:t>
      </w:r>
      <w:r w:rsidRPr="00F166D5">
        <w:rPr>
          <w:rFonts w:ascii="Times New Roman" w:hAnsi="Times New Roman" w:cs="Times New Roman" w:hint="eastAsia"/>
          <w:sz w:val="24"/>
        </w:rPr>
        <w:t>诱导的组成型免疫，而磷酸化的</w:t>
      </w:r>
      <w:r w:rsidRPr="00F166D5">
        <w:rPr>
          <w:rFonts w:ascii="Times New Roman" w:hAnsi="Times New Roman" w:cs="Times New Roman" w:hint="eastAsia"/>
          <w:sz w:val="24"/>
        </w:rPr>
        <w:t>EDS1</w:t>
      </w:r>
      <w:r w:rsidRPr="00F166D5">
        <w:rPr>
          <w:rFonts w:ascii="Times New Roman" w:hAnsi="Times New Roman" w:cs="Times New Roman" w:hint="eastAsia"/>
          <w:sz w:val="24"/>
        </w:rPr>
        <w:t>补充了</w:t>
      </w:r>
      <w:r w:rsidRPr="00F166D5">
        <w:rPr>
          <w:rFonts w:ascii="Times New Roman" w:hAnsi="Times New Roman" w:cs="Times New Roman" w:hint="eastAsia"/>
          <w:sz w:val="24"/>
        </w:rPr>
        <w:t>PBL19</w:t>
      </w:r>
      <w:r w:rsidRPr="00F166D5">
        <w:rPr>
          <w:rFonts w:ascii="Times New Roman" w:hAnsi="Times New Roman" w:cs="Times New Roman" w:hint="eastAsia"/>
          <w:sz w:val="24"/>
        </w:rPr>
        <w:t>对真菌抵抗的损失。</w:t>
      </w:r>
    </w:p>
    <w:p w:rsidR="00F166D5" w:rsidRDefault="00F166D5" w:rsidP="00F166D5">
      <w:pPr>
        <w:spacing w:line="360" w:lineRule="auto"/>
        <w:ind w:firstLine="420"/>
        <w:rPr>
          <w:rFonts w:ascii="Times New Roman" w:hAnsi="Times New Roman" w:cs="Times New Roman"/>
          <w:sz w:val="24"/>
        </w:rPr>
      </w:pPr>
      <w:r>
        <w:rPr>
          <w:noProof/>
        </w:rPr>
        <w:drawing>
          <wp:inline distT="0" distB="0" distL="0" distR="0">
            <wp:extent cx="5274310" cy="3279962"/>
            <wp:effectExtent l="0" t="0" r="2540" b="0"/>
            <wp:docPr id="1" name="图片 1" descr="https://pics4.baidu.com/feed/c9fcc3cec3fdfc032c4c8695c1ec2e9ea5c226c0.jpeg?token=0fa0b1e69fcd4aca770ae66f16076b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cs4.baidu.com/feed/c9fcc3cec3fdfc032c4c8695c1ec2e9ea5c226c0.jpeg?token=0fa0b1e69fcd4aca770ae66f16076bc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279962"/>
                    </a:xfrm>
                    <a:prstGeom prst="rect">
                      <a:avLst/>
                    </a:prstGeom>
                    <a:noFill/>
                    <a:ln>
                      <a:noFill/>
                    </a:ln>
                  </pic:spPr>
                </pic:pic>
              </a:graphicData>
            </a:graphic>
          </wp:inline>
        </w:drawing>
      </w:r>
    </w:p>
    <w:p w:rsidR="00F166D5" w:rsidRDefault="00F166D5" w:rsidP="00F166D5">
      <w:pPr>
        <w:spacing w:after="240" w:line="360" w:lineRule="auto"/>
        <w:ind w:firstLine="420"/>
        <w:jc w:val="center"/>
        <w:rPr>
          <w:rFonts w:ascii="Times New Roman" w:hAnsi="Times New Roman" w:cs="Times New Roman" w:hint="eastAsia"/>
          <w:sz w:val="24"/>
        </w:rPr>
      </w:pPr>
      <w:r w:rsidRPr="00F166D5">
        <w:rPr>
          <w:rFonts w:ascii="Times New Roman" w:hAnsi="Times New Roman" w:cs="Times New Roman" w:hint="eastAsia"/>
          <w:sz w:val="24"/>
        </w:rPr>
        <w:t>PBL19</w:t>
      </w:r>
      <w:proofErr w:type="gramStart"/>
      <w:r w:rsidRPr="00F166D5">
        <w:rPr>
          <w:rFonts w:ascii="Times New Roman" w:hAnsi="Times New Roman" w:cs="Times New Roman" w:hint="eastAsia"/>
          <w:sz w:val="24"/>
        </w:rPr>
        <w:t>介</w:t>
      </w:r>
      <w:proofErr w:type="gramEnd"/>
      <w:r w:rsidRPr="00F166D5">
        <w:rPr>
          <w:rFonts w:ascii="Times New Roman" w:hAnsi="Times New Roman" w:cs="Times New Roman" w:hint="eastAsia"/>
          <w:sz w:val="24"/>
        </w:rPr>
        <w:t>导新型植物几丁质信号转导模式图</w:t>
      </w:r>
    </w:p>
    <w:p w:rsidR="0019791F" w:rsidRDefault="00F166D5" w:rsidP="00F166D5">
      <w:pPr>
        <w:spacing w:line="360" w:lineRule="auto"/>
        <w:ind w:firstLine="420"/>
        <w:rPr>
          <w:rFonts w:ascii="Times New Roman" w:hAnsi="Times New Roman" w:cs="Times New Roman"/>
          <w:sz w:val="24"/>
        </w:rPr>
      </w:pPr>
      <w:r w:rsidRPr="00F166D5">
        <w:rPr>
          <w:rFonts w:ascii="Times New Roman" w:hAnsi="Times New Roman" w:cs="Times New Roman" w:hint="eastAsia"/>
          <w:sz w:val="24"/>
        </w:rPr>
        <w:t>总之，这些发现揭示了一个令人信服的模型，其中</w:t>
      </w:r>
      <w:r w:rsidRPr="00F166D5">
        <w:rPr>
          <w:rFonts w:ascii="Times New Roman" w:hAnsi="Times New Roman" w:cs="Times New Roman" w:hint="eastAsia"/>
          <w:sz w:val="24"/>
        </w:rPr>
        <w:t>PBL19</w:t>
      </w:r>
      <w:r w:rsidRPr="00F166D5">
        <w:rPr>
          <w:rFonts w:ascii="Times New Roman" w:hAnsi="Times New Roman" w:cs="Times New Roman" w:hint="eastAsia"/>
          <w:sz w:val="24"/>
        </w:rPr>
        <w:t>的质膜、核和细胞质在时间上协调免疫信号接收因子、扩增子和效应蛋白的不同作用，通过</w:t>
      </w:r>
      <w:r w:rsidRPr="00F166D5">
        <w:rPr>
          <w:rFonts w:ascii="Times New Roman" w:hAnsi="Times New Roman" w:cs="Times New Roman" w:hint="eastAsia"/>
          <w:sz w:val="24"/>
        </w:rPr>
        <w:t>EDS1</w:t>
      </w:r>
      <w:r w:rsidRPr="00F166D5">
        <w:rPr>
          <w:rFonts w:ascii="Times New Roman" w:hAnsi="Times New Roman" w:cs="Times New Roman" w:hint="eastAsia"/>
          <w:sz w:val="24"/>
        </w:rPr>
        <w:t>提高植物抗真菌的免疫力。</w:t>
      </w:r>
    </w:p>
    <w:p w:rsidR="00F166D5" w:rsidRDefault="00F166D5" w:rsidP="00F166D5">
      <w:pPr>
        <w:spacing w:line="360" w:lineRule="auto"/>
        <w:ind w:firstLine="420"/>
        <w:rPr>
          <w:rFonts w:ascii="Times New Roman" w:hAnsi="Times New Roman" w:cs="Times New Roman" w:hint="eastAsia"/>
          <w:sz w:val="24"/>
        </w:rPr>
      </w:pPr>
    </w:p>
    <w:p w:rsidR="00F166D5" w:rsidRPr="00F166D5" w:rsidRDefault="00F166D5" w:rsidP="00F166D5">
      <w:pPr>
        <w:spacing w:line="360" w:lineRule="auto"/>
        <w:ind w:firstLine="420"/>
        <w:rPr>
          <w:rFonts w:ascii="Times New Roman" w:hAnsi="Times New Roman" w:cs="Times New Roman" w:hint="eastAsia"/>
          <w:sz w:val="24"/>
        </w:rPr>
      </w:pPr>
      <w:r w:rsidRPr="00F166D5">
        <w:rPr>
          <w:rFonts w:ascii="Times New Roman" w:hAnsi="Times New Roman" w:cs="Times New Roman" w:hint="eastAsia"/>
          <w:sz w:val="24"/>
        </w:rPr>
        <w:t>相关论文信息：</w:t>
      </w:r>
    </w:p>
    <w:p w:rsidR="00F166D5" w:rsidRPr="00F166D5" w:rsidRDefault="00F166D5" w:rsidP="00F166D5">
      <w:pPr>
        <w:spacing w:line="360" w:lineRule="auto"/>
        <w:ind w:firstLine="420"/>
        <w:rPr>
          <w:rFonts w:ascii="Times New Roman" w:hAnsi="Times New Roman" w:cs="Times New Roman" w:hint="eastAsia"/>
          <w:sz w:val="24"/>
        </w:rPr>
      </w:pPr>
      <w:r w:rsidRPr="00F166D5">
        <w:rPr>
          <w:rFonts w:ascii="Times New Roman" w:hAnsi="Times New Roman" w:cs="Times New Roman"/>
          <w:sz w:val="24"/>
        </w:rPr>
        <w:t>https://doi.org/10.1038/s41477-022-01195-x</w:t>
      </w:r>
    </w:p>
    <w:sectPr w:rsidR="00F166D5" w:rsidRPr="00F166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NjZDk0MTE4YWFiZWNmYWY0Y2YyNDg3ZjU1ZmQ4MzYifQ=="/>
  </w:docVars>
  <w:rsids>
    <w:rsidRoot w:val="0019791F"/>
    <w:rsid w:val="0019791F"/>
    <w:rsid w:val="00577123"/>
    <w:rsid w:val="00F166D5"/>
    <w:rsid w:val="63397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13503"/>
  <w15:docId w15:val="{7D449AAF-A83A-4E3A-9440-FD994B25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305162">
      <w:bodyDiv w:val="1"/>
      <w:marLeft w:val="0"/>
      <w:marRight w:val="0"/>
      <w:marTop w:val="0"/>
      <w:marBottom w:val="0"/>
      <w:divBdr>
        <w:top w:val="none" w:sz="0" w:space="0" w:color="auto"/>
        <w:left w:val="none" w:sz="0" w:space="0" w:color="auto"/>
        <w:bottom w:val="none" w:sz="0" w:space="0" w:color="auto"/>
        <w:right w:val="none" w:sz="0" w:space="0" w:color="auto"/>
      </w:divBdr>
      <w:divsChild>
        <w:div w:id="1627395826">
          <w:marLeft w:val="0"/>
          <w:marRight w:val="0"/>
          <w:marTop w:val="360"/>
          <w:marBottom w:val="0"/>
          <w:divBdr>
            <w:top w:val="none" w:sz="0" w:space="0" w:color="auto"/>
            <w:left w:val="none" w:sz="0" w:space="0" w:color="auto"/>
            <w:bottom w:val="none" w:sz="0" w:space="0" w:color="auto"/>
            <w:right w:val="none" w:sz="0" w:space="0" w:color="auto"/>
          </w:divBdr>
        </w:div>
        <w:div w:id="1334063493">
          <w:marLeft w:val="0"/>
          <w:marRight w:val="0"/>
          <w:marTop w:val="3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161</Words>
  <Characters>923</Characters>
  <Application>Microsoft Office Word</Application>
  <DocSecurity>0</DocSecurity>
  <Lines>7</Lines>
  <Paragraphs>2</Paragraphs>
  <ScaleCrop>false</ScaleCrop>
  <Company>中山大学</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2022-07-19T04:58:00Z</dcterms:created>
  <dcterms:modified xsi:type="dcterms:W3CDTF">2022-07-19T05:10:00Z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2DE7A970C45C42D7975EBEC6903306F3</vt:lpwstr>
  </property>
</Properties>
</file>